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BF4A" w14:textId="77777777" w:rsidR="0062657E" w:rsidRDefault="0062657E" w:rsidP="007B090A">
      <w:pPr>
        <w:pStyle w:val="Heading1"/>
        <w:spacing w:line="276" w:lineRule="auto"/>
        <w:rPr>
          <w:color w:val="0082AB"/>
        </w:rPr>
      </w:pPr>
      <w:bookmarkStart w:id="0" w:name="_GoBack"/>
      <w:bookmarkEnd w:id="0"/>
      <w:r w:rsidRPr="0005691A">
        <w:rPr>
          <w:color w:val="0082AB"/>
        </w:rPr>
        <w:t>Coversheet</w:t>
      </w:r>
      <w:r w:rsidR="009435C4">
        <w:rPr>
          <w:color w:val="0082AB"/>
        </w:rPr>
        <w:t>:</w:t>
      </w:r>
      <w:r w:rsidRPr="0005691A">
        <w:rPr>
          <w:color w:val="0082AB"/>
        </w:rPr>
        <w:t xml:space="preserve"> </w:t>
      </w:r>
      <w:r w:rsidR="003A58DC">
        <w:rPr>
          <w:color w:val="0082AB"/>
        </w:rPr>
        <w:t>Ring-fencing rental losses</w:t>
      </w:r>
    </w:p>
    <w:p w14:paraId="4E0C9643" w14:textId="77777777" w:rsidR="009C4129" w:rsidRPr="007B090A" w:rsidRDefault="009C4129" w:rsidP="007B090A">
      <w:pPr>
        <w:pStyle w:val="spacer"/>
        <w:spacing w:line="276" w:lineRule="auto"/>
        <w:rPr>
          <w:rFonts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9"/>
      </w:tblGrid>
      <w:tr w:rsidR="0062657E" w:rsidRPr="007B090A" w14:paraId="65DEEF16" w14:textId="77777777" w:rsidTr="00FA7EFC">
        <w:tc>
          <w:tcPr>
            <w:tcW w:w="2348" w:type="dxa"/>
            <w:shd w:val="clear" w:color="auto" w:fill="EBF5F8"/>
          </w:tcPr>
          <w:p w14:paraId="53ED6639" w14:textId="77777777" w:rsidR="0062657E" w:rsidRPr="007B090A" w:rsidRDefault="0062657E" w:rsidP="007B090A">
            <w:pPr>
              <w:pStyle w:val="TableText"/>
              <w:spacing w:line="276" w:lineRule="auto"/>
              <w:rPr>
                <w:rFonts w:cs="Arial"/>
                <w:sz w:val="22"/>
              </w:rPr>
            </w:pPr>
            <w:r w:rsidRPr="007B090A">
              <w:rPr>
                <w:rFonts w:cs="Arial"/>
                <w:sz w:val="22"/>
              </w:rPr>
              <w:t>Advising agencies</w:t>
            </w:r>
          </w:p>
        </w:tc>
        <w:tc>
          <w:tcPr>
            <w:tcW w:w="6719" w:type="dxa"/>
            <w:shd w:val="clear" w:color="auto" w:fill="auto"/>
          </w:tcPr>
          <w:p w14:paraId="55778966" w14:textId="170C685B" w:rsidR="0062657E" w:rsidRPr="007B090A" w:rsidRDefault="003A58DC" w:rsidP="001A1EA5">
            <w:pPr>
              <w:spacing w:before="20" w:after="20" w:line="276" w:lineRule="auto"/>
              <w:rPr>
                <w:rFonts w:cs="Arial"/>
                <w:i/>
                <w:szCs w:val="22"/>
              </w:rPr>
            </w:pPr>
            <w:r>
              <w:rPr>
                <w:rFonts w:cs="Arial"/>
                <w:i/>
                <w:szCs w:val="22"/>
              </w:rPr>
              <w:t>The Treasury</w:t>
            </w:r>
            <w:r w:rsidR="001A1EA5">
              <w:rPr>
                <w:rFonts w:cs="Arial"/>
                <w:i/>
                <w:szCs w:val="22"/>
              </w:rPr>
              <w:t xml:space="preserve"> and Inland Revenue</w:t>
            </w:r>
          </w:p>
        </w:tc>
      </w:tr>
      <w:tr w:rsidR="0062657E" w:rsidRPr="007B090A" w14:paraId="130FBE8B" w14:textId="77777777" w:rsidTr="00FA7EFC">
        <w:tc>
          <w:tcPr>
            <w:tcW w:w="2348" w:type="dxa"/>
            <w:shd w:val="clear" w:color="auto" w:fill="EBF5F8"/>
          </w:tcPr>
          <w:p w14:paraId="34870173" w14:textId="77777777" w:rsidR="0062657E" w:rsidRPr="007B090A" w:rsidRDefault="0062657E" w:rsidP="007B090A">
            <w:pPr>
              <w:pStyle w:val="TableText"/>
              <w:spacing w:line="276" w:lineRule="auto"/>
              <w:rPr>
                <w:rFonts w:cs="Arial"/>
                <w:sz w:val="22"/>
              </w:rPr>
            </w:pPr>
            <w:r w:rsidRPr="007B090A">
              <w:rPr>
                <w:rFonts w:cs="Arial"/>
                <w:sz w:val="22"/>
              </w:rPr>
              <w:t>Decision sought</w:t>
            </w:r>
          </w:p>
        </w:tc>
        <w:tc>
          <w:tcPr>
            <w:tcW w:w="6719" w:type="dxa"/>
            <w:shd w:val="clear" w:color="auto" w:fill="auto"/>
          </w:tcPr>
          <w:p w14:paraId="3A4F662E" w14:textId="1AE4120D" w:rsidR="0062657E" w:rsidRPr="007B090A" w:rsidRDefault="003A58DC" w:rsidP="00A15F92">
            <w:pPr>
              <w:spacing w:before="20" w:after="20" w:line="276" w:lineRule="auto"/>
              <w:rPr>
                <w:rFonts w:cs="Arial"/>
                <w:i/>
                <w:szCs w:val="22"/>
              </w:rPr>
            </w:pPr>
            <w:r>
              <w:rPr>
                <w:rFonts w:cs="Arial"/>
                <w:i/>
                <w:szCs w:val="22"/>
              </w:rPr>
              <w:t>Agreement to key design features of a rental loss ring-fencing policy</w:t>
            </w:r>
          </w:p>
        </w:tc>
      </w:tr>
      <w:tr w:rsidR="0062657E" w:rsidRPr="007B090A" w14:paraId="58C2CC6F" w14:textId="77777777" w:rsidTr="00FA7EFC">
        <w:tc>
          <w:tcPr>
            <w:tcW w:w="2348" w:type="dxa"/>
            <w:shd w:val="clear" w:color="auto" w:fill="EBF5F8"/>
          </w:tcPr>
          <w:p w14:paraId="5E0D8714" w14:textId="77777777" w:rsidR="0062657E" w:rsidRPr="007B090A" w:rsidRDefault="0062657E" w:rsidP="007B090A">
            <w:pPr>
              <w:pStyle w:val="TableText"/>
              <w:spacing w:line="276" w:lineRule="auto"/>
              <w:rPr>
                <w:rFonts w:cs="Arial"/>
                <w:sz w:val="22"/>
              </w:rPr>
            </w:pPr>
            <w:r w:rsidRPr="007B090A">
              <w:rPr>
                <w:rFonts w:cs="Arial"/>
                <w:sz w:val="22"/>
              </w:rPr>
              <w:t>Proposing Ministers</w:t>
            </w:r>
          </w:p>
        </w:tc>
        <w:tc>
          <w:tcPr>
            <w:tcW w:w="6719" w:type="dxa"/>
            <w:shd w:val="clear" w:color="auto" w:fill="auto"/>
          </w:tcPr>
          <w:p w14:paraId="4803E707" w14:textId="22695441" w:rsidR="0062657E" w:rsidRPr="007B090A" w:rsidRDefault="005445B6" w:rsidP="00934694">
            <w:pPr>
              <w:spacing w:before="20" w:after="20" w:line="276" w:lineRule="auto"/>
              <w:rPr>
                <w:rFonts w:cs="Arial"/>
                <w:i/>
                <w:szCs w:val="22"/>
              </w:rPr>
            </w:pPr>
            <w:r>
              <w:rPr>
                <w:rFonts w:cs="Arial"/>
                <w:i/>
                <w:szCs w:val="22"/>
              </w:rPr>
              <w:t>Hon Grant Robertson (</w:t>
            </w:r>
            <w:r w:rsidR="003A58DC">
              <w:rPr>
                <w:rFonts w:cs="Arial"/>
                <w:i/>
                <w:szCs w:val="22"/>
              </w:rPr>
              <w:t>Minister of</w:t>
            </w:r>
            <w:r>
              <w:rPr>
                <w:rFonts w:cs="Arial"/>
                <w:i/>
                <w:szCs w:val="22"/>
              </w:rPr>
              <w:t xml:space="preserve"> Finance)</w:t>
            </w:r>
            <w:r w:rsidR="003A58DC">
              <w:rPr>
                <w:rFonts w:cs="Arial"/>
                <w:i/>
                <w:szCs w:val="22"/>
              </w:rPr>
              <w:t xml:space="preserve"> </w:t>
            </w:r>
            <w:r>
              <w:rPr>
                <w:rFonts w:cs="Arial"/>
                <w:i/>
                <w:szCs w:val="22"/>
              </w:rPr>
              <w:t>and</w:t>
            </w:r>
            <w:r w:rsidR="003A58DC">
              <w:rPr>
                <w:rFonts w:cs="Arial"/>
                <w:i/>
                <w:szCs w:val="22"/>
              </w:rPr>
              <w:t xml:space="preserve"> </w:t>
            </w:r>
            <w:r>
              <w:rPr>
                <w:rFonts w:cs="Arial"/>
                <w:i/>
                <w:szCs w:val="22"/>
              </w:rPr>
              <w:t>Hon Stuart Nash (</w:t>
            </w:r>
            <w:r w:rsidR="003A58DC">
              <w:rPr>
                <w:rFonts w:cs="Arial"/>
                <w:i/>
                <w:szCs w:val="22"/>
              </w:rPr>
              <w:t xml:space="preserve">Minister of </w:t>
            </w:r>
            <w:r>
              <w:rPr>
                <w:rFonts w:cs="Arial"/>
                <w:i/>
                <w:szCs w:val="22"/>
              </w:rPr>
              <w:t>Revenue)</w:t>
            </w:r>
          </w:p>
        </w:tc>
      </w:tr>
    </w:tbl>
    <w:p w14:paraId="4429B6CF" w14:textId="77777777" w:rsidR="0062657E" w:rsidRDefault="0062657E" w:rsidP="007B090A">
      <w:pPr>
        <w:pStyle w:val="spacer"/>
        <w:spacing w:line="276" w:lineRule="auto"/>
        <w:rPr>
          <w:rFonts w:cs="Arial"/>
          <w:sz w:val="22"/>
        </w:rPr>
      </w:pPr>
    </w:p>
    <w:p w14:paraId="0F57000A" w14:textId="77777777" w:rsidR="009C4129" w:rsidRPr="007B090A" w:rsidRDefault="009C4129" w:rsidP="007B090A">
      <w:pPr>
        <w:pStyle w:val="spacer"/>
        <w:spacing w:line="276" w:lineRule="auto"/>
        <w:rPr>
          <w:rFonts w:cs="Arial"/>
          <w:sz w:val="22"/>
        </w:rPr>
      </w:pPr>
    </w:p>
    <w:p w14:paraId="17A93522" w14:textId="77777777" w:rsidR="0062657E" w:rsidRPr="0005691A" w:rsidRDefault="0062657E" w:rsidP="007B090A">
      <w:pPr>
        <w:pStyle w:val="Heading2"/>
        <w:spacing w:line="276" w:lineRule="auto"/>
      </w:pPr>
      <w:r>
        <w:t xml:space="preserve">Summary:  Problem and Proposed Approach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2657E" w:rsidRPr="007B090A" w14:paraId="4589909F" w14:textId="77777777" w:rsidTr="00663BAA">
        <w:trPr>
          <w:trHeight w:val="214"/>
        </w:trPr>
        <w:tc>
          <w:tcPr>
            <w:tcW w:w="9039" w:type="dxa"/>
            <w:shd w:val="clear" w:color="auto" w:fill="99CDDD"/>
          </w:tcPr>
          <w:p w14:paraId="5168275A" w14:textId="77777777" w:rsidR="0062657E" w:rsidRPr="007B090A" w:rsidRDefault="0062657E" w:rsidP="00FA7EFC">
            <w:pPr>
              <w:keepNext/>
              <w:spacing w:before="60" w:after="60" w:line="276" w:lineRule="auto"/>
              <w:rPr>
                <w:b/>
                <w:szCs w:val="22"/>
              </w:rPr>
            </w:pPr>
            <w:r w:rsidRPr="007B090A">
              <w:rPr>
                <w:b/>
                <w:szCs w:val="22"/>
              </w:rPr>
              <w:t>Problem Definition</w:t>
            </w:r>
          </w:p>
          <w:p w14:paraId="23BA84E8" w14:textId="77777777" w:rsidR="0062657E" w:rsidRPr="007B090A" w:rsidRDefault="0062657E" w:rsidP="00DF2E7B">
            <w:pPr>
              <w:spacing w:before="60" w:after="60" w:line="240" w:lineRule="auto"/>
              <w:rPr>
                <w:b/>
                <w:szCs w:val="22"/>
              </w:rPr>
            </w:pPr>
            <w:r w:rsidRPr="007B090A">
              <w:rPr>
                <w:b/>
                <w:szCs w:val="22"/>
              </w:rPr>
              <w:t>What problem or opportunity does this proposal seek to address?  Why is Government intervention required?</w:t>
            </w:r>
          </w:p>
        </w:tc>
      </w:tr>
      <w:tr w:rsidR="0062657E" w:rsidRPr="007B090A" w14:paraId="763E3FA0" w14:textId="77777777" w:rsidTr="00663BAA">
        <w:trPr>
          <w:trHeight w:val="1228"/>
        </w:trPr>
        <w:tc>
          <w:tcPr>
            <w:tcW w:w="9039" w:type="dxa"/>
            <w:shd w:val="clear" w:color="auto" w:fill="FFFFFF"/>
          </w:tcPr>
          <w:p w14:paraId="4D9C0A26" w14:textId="2F5E38E9" w:rsidR="0062657E" w:rsidRPr="007B090A" w:rsidRDefault="003A58DC" w:rsidP="00421D7F">
            <w:pPr>
              <w:pStyle w:val="TableText"/>
              <w:spacing w:before="240" w:after="240" w:line="276" w:lineRule="auto"/>
              <w:rPr>
                <w:sz w:val="22"/>
              </w:rPr>
            </w:pPr>
            <w:r>
              <w:rPr>
                <w:sz w:val="22"/>
              </w:rPr>
              <w:t xml:space="preserve">The Government’s </w:t>
            </w:r>
            <w:r w:rsidR="00573AB4">
              <w:rPr>
                <w:sz w:val="22"/>
              </w:rPr>
              <w:t xml:space="preserve">stated </w:t>
            </w:r>
            <w:r>
              <w:rPr>
                <w:sz w:val="22"/>
              </w:rPr>
              <w:t xml:space="preserve">objective for ring-fencing rental losses is to </w:t>
            </w:r>
            <w:r w:rsidR="005445B6">
              <w:rPr>
                <w:sz w:val="22"/>
              </w:rPr>
              <w:t xml:space="preserve">reduce unfairness by </w:t>
            </w:r>
            <w:r>
              <w:rPr>
                <w:sz w:val="22"/>
              </w:rPr>
              <w:t>level</w:t>
            </w:r>
            <w:r w:rsidR="005445B6">
              <w:rPr>
                <w:sz w:val="22"/>
              </w:rPr>
              <w:t>ling</w:t>
            </w:r>
            <w:r>
              <w:rPr>
                <w:sz w:val="22"/>
              </w:rPr>
              <w:t xml:space="preserve"> the playing field between property speculators/investors and </w:t>
            </w:r>
            <w:r w:rsidR="00CD7E4C">
              <w:rPr>
                <w:sz w:val="22"/>
              </w:rPr>
              <w:t>owner-occupiers</w:t>
            </w:r>
            <w:r>
              <w:rPr>
                <w:sz w:val="22"/>
              </w:rPr>
              <w:t>.</w:t>
            </w:r>
            <w:r w:rsidR="00013C93">
              <w:rPr>
                <w:sz w:val="22"/>
              </w:rPr>
              <w:t xml:space="preserve"> </w:t>
            </w:r>
            <w:r w:rsidR="00BB136A">
              <w:rPr>
                <w:sz w:val="22"/>
              </w:rPr>
              <w:t xml:space="preserve"> </w:t>
            </w:r>
            <w:r w:rsidR="00013C93">
              <w:rPr>
                <w:sz w:val="22"/>
              </w:rPr>
              <w:t>Currently, investors can have part of the cost of servicing their mortgages subsidised by the reduced tax on their other income sources, helping them to outbid owner-occupiers for properties.</w:t>
            </w:r>
          </w:p>
        </w:tc>
      </w:tr>
    </w:tbl>
    <w:p w14:paraId="4D1BDC94" w14:textId="77777777" w:rsidR="0062657E" w:rsidRPr="007B090A"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2657E" w:rsidRPr="007B090A" w14:paraId="4629761B" w14:textId="77777777" w:rsidTr="004A11FC">
        <w:trPr>
          <w:trHeight w:val="585"/>
        </w:trPr>
        <w:tc>
          <w:tcPr>
            <w:tcW w:w="9067" w:type="dxa"/>
            <w:shd w:val="clear" w:color="auto" w:fill="99CDDD"/>
          </w:tcPr>
          <w:p w14:paraId="40E9F28E" w14:textId="77777777" w:rsidR="0062657E" w:rsidRPr="007B090A" w:rsidRDefault="0062657E" w:rsidP="007B090A">
            <w:pPr>
              <w:spacing w:before="60" w:after="60" w:line="276" w:lineRule="auto"/>
              <w:rPr>
                <w:b/>
                <w:szCs w:val="22"/>
              </w:rPr>
            </w:pPr>
            <w:r w:rsidRPr="007B090A">
              <w:rPr>
                <w:b/>
                <w:szCs w:val="22"/>
              </w:rPr>
              <w:t xml:space="preserve">Proposed Approach    </w:t>
            </w:r>
          </w:p>
          <w:p w14:paraId="6A0B14CA" w14:textId="77777777" w:rsidR="0062657E" w:rsidRPr="007B090A" w:rsidRDefault="0062657E" w:rsidP="00DF2E7B">
            <w:pPr>
              <w:spacing w:before="60" w:after="60" w:line="240" w:lineRule="auto"/>
              <w:rPr>
                <w:b/>
                <w:szCs w:val="22"/>
              </w:rPr>
            </w:pPr>
            <w:r w:rsidRPr="007B090A">
              <w:rPr>
                <w:b/>
                <w:szCs w:val="22"/>
              </w:rPr>
              <w:t>How will Government intervention work to bring about the desired change? How is this the best option?</w:t>
            </w:r>
          </w:p>
        </w:tc>
      </w:tr>
      <w:tr w:rsidR="0062657E" w:rsidRPr="007B090A" w14:paraId="70FE4038" w14:textId="77777777" w:rsidTr="00384E9B">
        <w:trPr>
          <w:trHeight w:val="1014"/>
        </w:trPr>
        <w:tc>
          <w:tcPr>
            <w:tcW w:w="9067" w:type="dxa"/>
            <w:shd w:val="clear" w:color="auto" w:fill="FFFFFF"/>
          </w:tcPr>
          <w:p w14:paraId="3D9AA6D0" w14:textId="49D19112" w:rsidR="0062657E" w:rsidRPr="007B090A" w:rsidRDefault="00013C93" w:rsidP="00421D7F">
            <w:pPr>
              <w:pStyle w:val="TableText"/>
              <w:spacing w:before="240" w:after="240" w:line="276" w:lineRule="auto"/>
              <w:rPr>
                <w:sz w:val="22"/>
              </w:rPr>
            </w:pPr>
            <w:r>
              <w:rPr>
                <w:sz w:val="22"/>
              </w:rPr>
              <w:t>Ring-fencing rental losses reduces the t</w:t>
            </w:r>
            <w:r w:rsidR="005445B6">
              <w:rPr>
                <w:sz w:val="22"/>
              </w:rPr>
              <w:t xml:space="preserve">ax benefits enjoyed by property </w:t>
            </w:r>
            <w:r>
              <w:rPr>
                <w:sz w:val="22"/>
              </w:rPr>
              <w:t xml:space="preserve">investors </w:t>
            </w:r>
            <w:r w:rsidR="00421D7F">
              <w:rPr>
                <w:sz w:val="22"/>
              </w:rPr>
              <w:t>who buy property in anticipation of capital gain</w:t>
            </w:r>
            <w:r>
              <w:rPr>
                <w:sz w:val="22"/>
              </w:rPr>
              <w:t>.</w:t>
            </w:r>
          </w:p>
        </w:tc>
      </w:tr>
    </w:tbl>
    <w:p w14:paraId="64F28932" w14:textId="77777777" w:rsidR="0062657E" w:rsidRPr="00AA6A54" w:rsidRDefault="0062657E" w:rsidP="00AA6A54">
      <w:pPr>
        <w:pStyle w:val="spacer"/>
      </w:pPr>
    </w:p>
    <w:p w14:paraId="47862FE3" w14:textId="77777777" w:rsidR="0062657E" w:rsidRPr="00B2239E" w:rsidRDefault="0062657E" w:rsidP="007B090A">
      <w:pPr>
        <w:pStyle w:val="Heading2"/>
        <w:spacing w:line="276" w:lineRule="auto"/>
      </w:pPr>
      <w:r w:rsidRPr="00B2239E">
        <w:t>Section B</w:t>
      </w:r>
      <w:r w:rsidR="00B2239E">
        <w:t xml:space="preserve">: </w:t>
      </w:r>
      <w:r w:rsidRPr="00B2239E">
        <w:t xml:space="preserve">Summary Impacts: Benefits and costs </w:t>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14:paraId="379A4C1B" w14:textId="77777777" w:rsidTr="00663BAA">
        <w:trPr>
          <w:trHeight w:val="197"/>
        </w:trPr>
        <w:tc>
          <w:tcPr>
            <w:tcW w:w="9039" w:type="dxa"/>
            <w:tcBorders>
              <w:top w:val="single" w:sz="4" w:space="0" w:color="auto"/>
              <w:left w:val="single" w:sz="4" w:space="0" w:color="auto"/>
              <w:bottom w:val="single" w:sz="4" w:space="0" w:color="auto"/>
              <w:right w:val="single" w:sz="4" w:space="0" w:color="auto"/>
            </w:tcBorders>
            <w:shd w:val="clear" w:color="auto" w:fill="99CDDD"/>
          </w:tcPr>
          <w:p w14:paraId="01E7E073" w14:textId="77777777" w:rsidR="0062657E" w:rsidRPr="00210C3D" w:rsidRDefault="0062657E" w:rsidP="00DF2E7B">
            <w:pPr>
              <w:spacing w:before="60" w:after="60" w:line="240" w:lineRule="auto"/>
              <w:rPr>
                <w:rFonts w:ascii="Arial Narrow" w:hAnsi="Arial Narrow"/>
                <w:b/>
                <w:i/>
                <w:szCs w:val="22"/>
              </w:rPr>
            </w:pPr>
            <w:r w:rsidRPr="00210C3D">
              <w:rPr>
                <w:b/>
                <w:szCs w:val="22"/>
              </w:rPr>
              <w:t>Who are the main expected beneficiaries and what is the nature of the expected benefit?</w:t>
            </w:r>
          </w:p>
        </w:tc>
      </w:tr>
      <w:tr w:rsidR="00210C3D" w:rsidRPr="00210C3D" w14:paraId="1C56445D" w14:textId="77777777" w:rsidTr="00663BAA">
        <w:trPr>
          <w:trHeight w:val="699"/>
        </w:trPr>
        <w:tc>
          <w:tcPr>
            <w:tcW w:w="9039" w:type="dxa"/>
            <w:tcBorders>
              <w:top w:val="single" w:sz="4" w:space="0" w:color="auto"/>
              <w:left w:val="single" w:sz="4" w:space="0" w:color="auto"/>
              <w:bottom w:val="single" w:sz="4" w:space="0" w:color="auto"/>
              <w:right w:val="single" w:sz="4" w:space="0" w:color="auto"/>
            </w:tcBorders>
            <w:shd w:val="clear" w:color="auto" w:fill="FFFFFF"/>
          </w:tcPr>
          <w:p w14:paraId="10C82539" w14:textId="36741890" w:rsidR="008027D7" w:rsidRDefault="008027D7" w:rsidP="008027D7">
            <w:pPr>
              <w:pStyle w:val="TableText"/>
              <w:spacing w:before="240" w:after="240" w:line="276" w:lineRule="auto"/>
              <w:rPr>
                <w:sz w:val="22"/>
              </w:rPr>
            </w:pPr>
            <w:r>
              <w:rPr>
                <w:sz w:val="22"/>
              </w:rPr>
              <w:t>Key beneficiaries are expected to be:</w:t>
            </w:r>
          </w:p>
          <w:p w14:paraId="7F7EB097" w14:textId="1A42E110" w:rsidR="000A07C8" w:rsidRDefault="004736C7" w:rsidP="005F70B6">
            <w:pPr>
              <w:pStyle w:val="ListParagraph"/>
              <w:numPr>
                <w:ilvl w:val="0"/>
                <w:numId w:val="5"/>
              </w:numPr>
              <w:spacing w:before="120" w:after="120" w:line="276" w:lineRule="auto"/>
              <w:ind w:left="284" w:hanging="284"/>
              <w:contextualSpacing w:val="0"/>
            </w:pPr>
            <w:r>
              <w:rPr>
                <w:rFonts w:cs="Arial"/>
                <w:szCs w:val="22"/>
                <w:u w:val="single"/>
              </w:rPr>
              <w:t>F</w:t>
            </w:r>
            <w:r w:rsidR="008027D7" w:rsidRPr="000A07C8">
              <w:rPr>
                <w:u w:val="single"/>
              </w:rPr>
              <w:t>irst-home buyers</w:t>
            </w:r>
            <w:r w:rsidR="000A07C8">
              <w:t xml:space="preserve">.  </w:t>
            </w:r>
            <w:r w:rsidR="008027D7">
              <w:t>Ring-fencing of rental losses</w:t>
            </w:r>
            <w:r w:rsidR="008027D7" w:rsidRPr="002F0E9C">
              <w:t xml:space="preserve"> could help</w:t>
            </w:r>
            <w:r w:rsidR="0097173F">
              <w:t xml:space="preserve"> improve</w:t>
            </w:r>
            <w:r w:rsidR="008027D7" w:rsidRPr="002F0E9C">
              <w:t xml:space="preserve"> first home buyers</w:t>
            </w:r>
            <w:r w:rsidR="0097173F">
              <w:t>’ ability to compete with</w:t>
            </w:r>
            <w:r w:rsidR="008027D7" w:rsidRPr="002F0E9C">
              <w:t xml:space="preserve"> investors, improving housing affordability for home buyers, and </w:t>
            </w:r>
            <w:r w:rsidR="00FA0895">
              <w:t xml:space="preserve">potentially </w:t>
            </w:r>
            <w:r w:rsidR="008027D7" w:rsidRPr="002F0E9C">
              <w:t>increasing the share of New Zea</w:t>
            </w:r>
            <w:r w:rsidR="008027D7">
              <w:t>landers who own their own homes;</w:t>
            </w:r>
            <w:r w:rsidR="000A07C8">
              <w:t xml:space="preserve"> and</w:t>
            </w:r>
          </w:p>
          <w:p w14:paraId="63DFD0B3" w14:textId="0250415F" w:rsidR="001220BD" w:rsidRPr="000A07C8" w:rsidRDefault="008027D7" w:rsidP="005F70B6">
            <w:pPr>
              <w:pStyle w:val="ListParagraph"/>
              <w:numPr>
                <w:ilvl w:val="0"/>
                <w:numId w:val="5"/>
              </w:numPr>
              <w:spacing w:before="120" w:after="120" w:line="276" w:lineRule="auto"/>
              <w:ind w:left="284" w:hanging="284"/>
              <w:contextualSpacing w:val="0"/>
            </w:pPr>
            <w:r w:rsidRPr="000A07C8">
              <w:rPr>
                <w:rFonts w:cs="Arial"/>
                <w:szCs w:val="22"/>
                <w:u w:val="single"/>
              </w:rPr>
              <w:t>Government</w:t>
            </w:r>
            <w:r w:rsidR="000A07C8">
              <w:t>.</w:t>
            </w:r>
            <w:r w:rsidRPr="000A07C8">
              <w:t xml:space="preserve"> </w:t>
            </w:r>
            <w:r w:rsidR="000A07C8">
              <w:t xml:space="preserve"> </w:t>
            </w:r>
            <w:r w:rsidRPr="000A07C8">
              <w:t>Ring-fencing of rental losses is expected to increase tax revenue by approximately $190</w:t>
            </w:r>
            <w:r w:rsidR="0097173F">
              <w:t xml:space="preserve"> </w:t>
            </w:r>
            <w:r w:rsidRPr="000A07C8">
              <w:t>m</w:t>
            </w:r>
            <w:r w:rsidR="0097173F">
              <w:t>illion</w:t>
            </w:r>
            <w:r w:rsidRPr="000A07C8">
              <w:t xml:space="preserve"> per annum</w:t>
            </w:r>
            <w:r w:rsidR="000A07C8">
              <w:t>.</w:t>
            </w:r>
          </w:p>
        </w:tc>
      </w:tr>
    </w:tbl>
    <w:p w14:paraId="34895564" w14:textId="77777777" w:rsidR="0062657E" w:rsidRPr="00AA6A54" w:rsidRDefault="0062657E" w:rsidP="00AA6A54">
      <w:pPr>
        <w:pStyle w:val="spacer"/>
      </w:pPr>
    </w:p>
    <w:p w14:paraId="3BD40067" w14:textId="77777777" w:rsidR="006D2AF3" w:rsidRDefault="006D2AF3">
      <w:r>
        <w:br w:type="page"/>
      </w:r>
    </w:p>
    <w:tbl>
      <w:tblPr>
        <w:tblW w:w="0" w:type="auto"/>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039"/>
      </w:tblGrid>
      <w:tr w:rsidR="00210C3D" w:rsidRPr="00210C3D" w14:paraId="20333037" w14:textId="77777777" w:rsidTr="00663BAA">
        <w:trPr>
          <w:trHeight w:val="224"/>
        </w:trPr>
        <w:tc>
          <w:tcPr>
            <w:tcW w:w="9039" w:type="dxa"/>
            <w:tcBorders>
              <w:top w:val="single" w:sz="4" w:space="0" w:color="auto"/>
              <w:left w:val="single" w:sz="4" w:space="0" w:color="auto"/>
              <w:bottom w:val="single" w:sz="4" w:space="0" w:color="auto"/>
              <w:right w:val="single" w:sz="4" w:space="0" w:color="auto"/>
            </w:tcBorders>
            <w:shd w:val="clear" w:color="auto" w:fill="99CDDD"/>
          </w:tcPr>
          <w:p w14:paraId="139D9A3F" w14:textId="639A91B0" w:rsidR="0062657E" w:rsidRPr="00210C3D" w:rsidRDefault="0062657E" w:rsidP="00DF2E7B">
            <w:pPr>
              <w:spacing w:before="60" w:after="60" w:line="240" w:lineRule="auto"/>
              <w:rPr>
                <w:b/>
                <w:szCs w:val="22"/>
              </w:rPr>
            </w:pPr>
            <w:r w:rsidRPr="00210C3D">
              <w:rPr>
                <w:b/>
                <w:szCs w:val="22"/>
              </w:rPr>
              <w:lastRenderedPageBreak/>
              <w:t xml:space="preserve">Where do the costs fall?  </w:t>
            </w:r>
          </w:p>
        </w:tc>
      </w:tr>
      <w:tr w:rsidR="00210C3D" w:rsidRPr="00210C3D" w14:paraId="131CFFB3" w14:textId="77777777" w:rsidTr="00663BAA">
        <w:tc>
          <w:tcPr>
            <w:tcW w:w="9039" w:type="dxa"/>
            <w:tcBorders>
              <w:top w:val="single" w:sz="4" w:space="0" w:color="auto"/>
              <w:left w:val="single" w:sz="4" w:space="0" w:color="auto"/>
              <w:bottom w:val="single" w:sz="4" w:space="0" w:color="auto"/>
              <w:right w:val="single" w:sz="4" w:space="0" w:color="auto"/>
            </w:tcBorders>
            <w:shd w:val="clear" w:color="auto" w:fill="FFFFFF"/>
          </w:tcPr>
          <w:p w14:paraId="39AAE3B8" w14:textId="486521F6" w:rsidR="000A07C8" w:rsidRDefault="000A07C8" w:rsidP="000A07C8">
            <w:pPr>
              <w:pStyle w:val="TableText"/>
              <w:spacing w:before="240" w:after="240" w:line="276" w:lineRule="auto"/>
              <w:rPr>
                <w:sz w:val="22"/>
              </w:rPr>
            </w:pPr>
            <w:r>
              <w:rPr>
                <w:sz w:val="22"/>
              </w:rPr>
              <w:t>Costs are expected to fall on:</w:t>
            </w:r>
          </w:p>
          <w:p w14:paraId="6BEED332" w14:textId="0E54EF2E" w:rsidR="000A07C8" w:rsidRDefault="000A07C8" w:rsidP="005F70B6">
            <w:pPr>
              <w:pStyle w:val="ListParagraph"/>
              <w:numPr>
                <w:ilvl w:val="0"/>
                <w:numId w:val="5"/>
              </w:numPr>
              <w:spacing w:before="120" w:after="120" w:line="276" w:lineRule="auto"/>
              <w:ind w:left="284" w:hanging="284"/>
              <w:contextualSpacing w:val="0"/>
            </w:pPr>
            <w:r w:rsidRPr="000A07C8">
              <w:rPr>
                <w:u w:val="single"/>
              </w:rPr>
              <w:t>Investors</w:t>
            </w:r>
            <w:r>
              <w:t xml:space="preserve">.  </w:t>
            </w:r>
            <w:r w:rsidRPr="002F0E9C">
              <w:t xml:space="preserve">Residential property investors who negatively gear </w:t>
            </w:r>
            <w:r w:rsidR="00FA24D7">
              <w:t>could</w:t>
            </w:r>
            <w:r w:rsidR="00FA24D7" w:rsidRPr="002F0E9C">
              <w:t xml:space="preserve"> </w:t>
            </w:r>
            <w:r w:rsidRPr="002F0E9C">
              <w:t>face higher tax liabilities on an ongoing basis</w:t>
            </w:r>
            <w:r w:rsidR="00FA24D7">
              <w:t>, if they persistently make a loss</w:t>
            </w:r>
            <w:r>
              <w:t xml:space="preserve">.  </w:t>
            </w:r>
            <w:r w:rsidR="0097173F">
              <w:t xml:space="preserve">It could be the case that investors start experiencing positive rental cash flows after a period. </w:t>
            </w:r>
            <w:r w:rsidRPr="002F0E9C">
              <w:t>I</w:t>
            </w:r>
            <w:r>
              <w:t xml:space="preserve">nland </w:t>
            </w:r>
            <w:r w:rsidRPr="002F0E9C">
              <w:t>R</w:t>
            </w:r>
            <w:r>
              <w:t>evenue</w:t>
            </w:r>
            <w:r w:rsidRPr="002F0E9C">
              <w:t xml:space="preserve"> estimates that approximately 40</w:t>
            </w:r>
            <w:r w:rsidR="0097173F">
              <w:t xml:space="preserve"> percent</w:t>
            </w:r>
            <w:r w:rsidRPr="002F0E9C">
              <w:t xml:space="preserve"> of taxpayers with rentals record rental losses</w:t>
            </w:r>
            <w:r w:rsidR="0097173F">
              <w:t xml:space="preserve"> at any given time</w:t>
            </w:r>
            <w:r>
              <w:t>,</w:t>
            </w:r>
            <w:r w:rsidRPr="002F0E9C">
              <w:t xml:space="preserve"> with an average estimated </w:t>
            </w:r>
            <w:r>
              <w:t xml:space="preserve">annual </w:t>
            </w:r>
            <w:r w:rsidRPr="002F0E9C">
              <w:t>tax benefit of $2,000</w:t>
            </w:r>
            <w:r>
              <w:t>; and</w:t>
            </w:r>
          </w:p>
          <w:p w14:paraId="18EB3A01" w14:textId="6B6862AE" w:rsidR="0062657E" w:rsidRPr="00210C3D" w:rsidRDefault="000A07C8" w:rsidP="00552A37">
            <w:pPr>
              <w:pStyle w:val="ListParagraph"/>
              <w:numPr>
                <w:ilvl w:val="0"/>
                <w:numId w:val="5"/>
              </w:numPr>
              <w:spacing w:before="120" w:after="120" w:line="276" w:lineRule="auto"/>
              <w:ind w:left="284" w:hanging="284"/>
              <w:contextualSpacing w:val="0"/>
            </w:pPr>
            <w:r w:rsidRPr="000A07C8">
              <w:rPr>
                <w:u w:val="single"/>
              </w:rPr>
              <w:t>Renters</w:t>
            </w:r>
            <w:r>
              <w:t>.  Rental l</w:t>
            </w:r>
            <w:r w:rsidRPr="002F0E9C">
              <w:t xml:space="preserve">oss ring-fencing will reduce after tax rental returns for some </w:t>
            </w:r>
            <w:r>
              <w:t xml:space="preserve">landlords.  </w:t>
            </w:r>
            <w:r w:rsidRPr="002F0E9C">
              <w:t xml:space="preserve">This could encourage the transfer of housing stock from investment housing (ie, rental housing) to owner-occupier housing, putting pressure on the remaining rental stock.  </w:t>
            </w:r>
            <w:r w:rsidR="00960617">
              <w:t>On average, o</w:t>
            </w:r>
            <w:r w:rsidRPr="002F0E9C">
              <w:t>wner</w:t>
            </w:r>
            <w:r w:rsidR="0079669D">
              <w:t>-</w:t>
            </w:r>
            <w:r w:rsidRPr="002F0E9C">
              <w:t>occupie</w:t>
            </w:r>
            <w:r w:rsidR="00A15F92">
              <w:t>d housing</w:t>
            </w:r>
            <w:r w:rsidRPr="002F0E9C">
              <w:t xml:space="preserve"> tend</w:t>
            </w:r>
            <w:r w:rsidR="00A15F92">
              <w:t>s</w:t>
            </w:r>
            <w:r w:rsidRPr="002F0E9C">
              <w:t xml:space="preserve"> to have fewer people per house.  This suggests that the transfer of housing stock from rental to owner</w:t>
            </w:r>
            <w:r w:rsidR="0079669D">
              <w:t>-</w:t>
            </w:r>
            <w:r w:rsidRPr="002F0E9C">
              <w:t>occupied may reduce the amount of housing available for each remaining renter unless there is an adequate flow of new housing onto the rental market.</w:t>
            </w:r>
            <w:r w:rsidR="00934694">
              <w:t xml:space="preserve">  This may lead to increased rents.</w:t>
            </w:r>
            <w:r>
              <w:t xml:space="preserve">  </w:t>
            </w:r>
            <w:r w:rsidR="00A15F92">
              <w:t>Landlords may also pass on their rental losses to tenants</w:t>
            </w:r>
            <w:r w:rsidR="006943B3">
              <w:t xml:space="preserve"> in the form of increased rents</w:t>
            </w:r>
            <w:r w:rsidR="00A15F92">
              <w:t xml:space="preserve">. </w:t>
            </w:r>
            <w:r>
              <w:t>There are other ways that th</w:t>
            </w:r>
            <w:r w:rsidR="007E4821">
              <w:t>is and other</w:t>
            </w:r>
            <w:r>
              <w:t xml:space="preserve"> polic</w:t>
            </w:r>
            <w:r w:rsidR="007E4821">
              <w:t>ies</w:t>
            </w:r>
            <w:r>
              <w:t xml:space="preserve"> could impact the rental market, and officials </w:t>
            </w:r>
            <w:r w:rsidR="006943B3">
              <w:t xml:space="preserve">note </w:t>
            </w:r>
            <w:r>
              <w:t>that</w:t>
            </w:r>
            <w:r w:rsidRPr="00BD6232">
              <w:t xml:space="preserve"> </w:t>
            </w:r>
            <w:r>
              <w:t xml:space="preserve">there </w:t>
            </w:r>
            <w:r w:rsidRPr="00BD6232">
              <w:t>is significant unce</w:t>
            </w:r>
            <w:r>
              <w:t>rtainty about the net impact.</w:t>
            </w:r>
          </w:p>
        </w:tc>
      </w:tr>
    </w:tbl>
    <w:p w14:paraId="5A8A2681" w14:textId="77777777" w:rsidR="0062657E" w:rsidRPr="00210C3D"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2E31D489" w14:textId="77777777" w:rsidTr="004A11FC">
        <w:tc>
          <w:tcPr>
            <w:tcW w:w="9067" w:type="dxa"/>
            <w:shd w:val="clear" w:color="auto" w:fill="99CDDD"/>
          </w:tcPr>
          <w:p w14:paraId="00F410B6" w14:textId="77777777" w:rsidR="0062657E" w:rsidRPr="00210C3D" w:rsidRDefault="0062657E" w:rsidP="00DF2E7B">
            <w:pPr>
              <w:spacing w:before="60" w:after="60" w:line="240" w:lineRule="auto"/>
              <w:rPr>
                <w:b/>
                <w:i/>
                <w:szCs w:val="22"/>
              </w:rPr>
            </w:pPr>
            <w:r w:rsidRPr="00210C3D">
              <w:rPr>
                <w:b/>
                <w:szCs w:val="22"/>
              </w:rPr>
              <w:t xml:space="preserve">What are the likely risks and unintended impacts, how significant are they and how will they be minimised or mitigated? </w:t>
            </w:r>
          </w:p>
        </w:tc>
      </w:tr>
      <w:tr w:rsidR="00210C3D" w:rsidRPr="00210C3D" w14:paraId="4E2BE55C" w14:textId="77777777" w:rsidTr="00384E9B">
        <w:tc>
          <w:tcPr>
            <w:tcW w:w="9067" w:type="dxa"/>
            <w:shd w:val="clear" w:color="auto" w:fill="FFFFFF"/>
          </w:tcPr>
          <w:p w14:paraId="14CCB6CB" w14:textId="50E882BF" w:rsidR="000A07C8" w:rsidRDefault="000A07C8" w:rsidP="000A07C8">
            <w:pPr>
              <w:pStyle w:val="TableText"/>
              <w:spacing w:before="240" w:after="240" w:line="276" w:lineRule="auto"/>
              <w:rPr>
                <w:sz w:val="22"/>
              </w:rPr>
            </w:pPr>
            <w:r>
              <w:rPr>
                <w:sz w:val="22"/>
              </w:rPr>
              <w:t>Key risks and unintended impacts include:</w:t>
            </w:r>
          </w:p>
          <w:p w14:paraId="0C8D4E02" w14:textId="5513B674" w:rsidR="000A07C8" w:rsidRDefault="000A07C8" w:rsidP="005F70B6">
            <w:pPr>
              <w:pStyle w:val="ListParagraph"/>
              <w:numPr>
                <w:ilvl w:val="0"/>
                <w:numId w:val="5"/>
              </w:numPr>
              <w:spacing w:before="120" w:after="120" w:line="276" w:lineRule="auto"/>
              <w:ind w:left="284" w:hanging="284"/>
              <w:contextualSpacing w:val="0"/>
            </w:pPr>
            <w:r w:rsidRPr="000A07C8">
              <w:rPr>
                <w:u w:val="single"/>
              </w:rPr>
              <w:t>Uncertainty around the impact o</w:t>
            </w:r>
            <w:r w:rsidR="00934694">
              <w:rPr>
                <w:u w:val="single"/>
              </w:rPr>
              <w:t>n</w:t>
            </w:r>
            <w:r w:rsidRPr="000A07C8">
              <w:rPr>
                <w:u w:val="single"/>
              </w:rPr>
              <w:t xml:space="preserve"> the housing market</w:t>
            </w:r>
            <w:r>
              <w:t>.  The Government is closely monitoring the performance of the housing market</w:t>
            </w:r>
            <w:r w:rsidR="007E4821">
              <w:t>.</w:t>
            </w:r>
            <w:r w:rsidR="00966144">
              <w:t xml:space="preserve">  </w:t>
            </w:r>
            <w:r w:rsidR="006943B3">
              <w:t xml:space="preserve">However, given the number of other policy and regulatory changes to the housing market, it may not be possible to isolate the impact of this proposal on the housing market.  </w:t>
            </w:r>
          </w:p>
          <w:p w14:paraId="21517CC2" w14:textId="2585788A" w:rsidR="0062657E" w:rsidRPr="00210C3D" w:rsidRDefault="000A07C8" w:rsidP="00966144">
            <w:pPr>
              <w:pStyle w:val="ListParagraph"/>
              <w:numPr>
                <w:ilvl w:val="0"/>
                <w:numId w:val="5"/>
              </w:numPr>
              <w:spacing w:before="120" w:after="120" w:line="276" w:lineRule="auto"/>
              <w:ind w:left="284" w:hanging="284"/>
              <w:contextualSpacing w:val="0"/>
            </w:pPr>
            <w:r w:rsidRPr="000A07C8">
              <w:rPr>
                <w:u w:val="single"/>
              </w:rPr>
              <w:t>Implementation risks for I</w:t>
            </w:r>
            <w:r w:rsidR="00934694">
              <w:rPr>
                <w:u w:val="single"/>
              </w:rPr>
              <w:t xml:space="preserve">nland </w:t>
            </w:r>
            <w:r w:rsidRPr="000A07C8">
              <w:rPr>
                <w:u w:val="single"/>
              </w:rPr>
              <w:t>R</w:t>
            </w:r>
            <w:r w:rsidR="00934694">
              <w:rPr>
                <w:u w:val="single"/>
              </w:rPr>
              <w:t>evenue</w:t>
            </w:r>
            <w:r>
              <w:t>.</w:t>
            </w:r>
            <w:r w:rsidRPr="00BD6232">
              <w:t xml:space="preserve"> </w:t>
            </w:r>
            <w:r>
              <w:t xml:space="preserve"> </w:t>
            </w:r>
            <w:r w:rsidRPr="00BD6232">
              <w:t>Changes will be required to START (I</w:t>
            </w:r>
            <w:r>
              <w:t xml:space="preserve">nland </w:t>
            </w:r>
            <w:r w:rsidRPr="00BD6232">
              <w:t>R</w:t>
            </w:r>
            <w:r>
              <w:t>evenue</w:t>
            </w:r>
            <w:r w:rsidRPr="00BD6232">
              <w:t xml:space="preserve">’s tax processing computer system). </w:t>
            </w:r>
            <w:r>
              <w:t xml:space="preserve"> </w:t>
            </w:r>
            <w:r w:rsidRPr="00BD6232">
              <w:t xml:space="preserve">A detailed assessment of </w:t>
            </w:r>
            <w:r>
              <w:t xml:space="preserve">required </w:t>
            </w:r>
            <w:r w:rsidRPr="00BD6232">
              <w:t xml:space="preserve">changes and an execution plan </w:t>
            </w:r>
            <w:r w:rsidR="00966144">
              <w:t xml:space="preserve">is being made as part of returns planning for the 2019-20 income year.  </w:t>
            </w:r>
          </w:p>
        </w:tc>
      </w:tr>
    </w:tbl>
    <w:p w14:paraId="050ACDD2" w14:textId="77777777" w:rsidR="0062657E" w:rsidRPr="00210C3D" w:rsidRDefault="0062657E" w:rsidP="00AA6A54">
      <w:pPr>
        <w:pStyle w:val="space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6B6019E1" w14:textId="77777777" w:rsidTr="004A11FC">
        <w:tc>
          <w:tcPr>
            <w:tcW w:w="9067" w:type="dxa"/>
            <w:shd w:val="clear" w:color="auto" w:fill="99CDDD"/>
          </w:tcPr>
          <w:p w14:paraId="0A86AB23" w14:textId="77777777" w:rsidR="0062657E" w:rsidRPr="00210C3D" w:rsidRDefault="0062657E" w:rsidP="00DF2E7B">
            <w:pPr>
              <w:spacing w:before="60" w:after="60" w:line="240" w:lineRule="auto"/>
              <w:rPr>
                <w:b/>
                <w:i/>
                <w:szCs w:val="22"/>
              </w:rPr>
            </w:pPr>
            <w:r w:rsidRPr="00210C3D">
              <w:rPr>
                <w:b/>
                <w:szCs w:val="22"/>
              </w:rPr>
              <w:t xml:space="preserve">Identify any significant incompatibility with the Government’s ‘Expectations for the design of regulatory systems’.  </w:t>
            </w:r>
          </w:p>
        </w:tc>
      </w:tr>
      <w:tr w:rsidR="00210C3D" w:rsidRPr="00210C3D" w14:paraId="7278F0D1" w14:textId="77777777" w:rsidTr="00384E9B">
        <w:tc>
          <w:tcPr>
            <w:tcW w:w="9067" w:type="dxa"/>
            <w:shd w:val="clear" w:color="auto" w:fill="FFFFFF"/>
          </w:tcPr>
          <w:p w14:paraId="516A34D0" w14:textId="7C0F91F4" w:rsidR="0062657E" w:rsidRPr="000A07C8" w:rsidRDefault="000A07C8" w:rsidP="005445B6">
            <w:pPr>
              <w:pStyle w:val="TableText"/>
              <w:spacing w:before="240" w:after="240" w:line="276" w:lineRule="auto"/>
              <w:rPr>
                <w:sz w:val="22"/>
              </w:rPr>
            </w:pPr>
            <w:r w:rsidRPr="000A07C8">
              <w:rPr>
                <w:sz w:val="22"/>
                <w:lang w:val="en-US" w:bidi="en-US"/>
              </w:rPr>
              <w:t>There is no incompatibility between this regulatory proposal and the Government’s ‘Expectations for the design of regulatory systems’.</w:t>
            </w:r>
          </w:p>
        </w:tc>
      </w:tr>
    </w:tbl>
    <w:p w14:paraId="24BB794A" w14:textId="77777777" w:rsidR="0062657E" w:rsidRPr="00210C3D" w:rsidRDefault="0062657E" w:rsidP="007B090A">
      <w:pPr>
        <w:pStyle w:val="spacer"/>
        <w:spacing w:line="276" w:lineRule="auto"/>
        <w:rPr>
          <w:sz w:val="22"/>
        </w:rPr>
      </w:pPr>
    </w:p>
    <w:p w14:paraId="4728CCFF" w14:textId="77777777" w:rsidR="0062657E" w:rsidRPr="008603C7" w:rsidRDefault="0062657E" w:rsidP="007B090A">
      <w:pPr>
        <w:pStyle w:val="Heading2"/>
        <w:spacing w:line="276" w:lineRule="auto"/>
      </w:pPr>
      <w:r w:rsidRPr="008603C7">
        <w:t>Section C</w:t>
      </w:r>
      <w:r w:rsidR="0005691A">
        <w:t xml:space="preserve">: </w:t>
      </w:r>
      <w:r w:rsidRPr="008603C7">
        <w:t xml:space="preserve">Evidence certainty and quality assurance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10C3D" w:rsidRPr="00210C3D" w14:paraId="41CD0036" w14:textId="77777777" w:rsidTr="00663BAA">
        <w:trPr>
          <w:trHeight w:val="339"/>
        </w:trPr>
        <w:tc>
          <w:tcPr>
            <w:tcW w:w="9039" w:type="dxa"/>
            <w:shd w:val="clear" w:color="auto" w:fill="99CDDD"/>
          </w:tcPr>
          <w:p w14:paraId="034D268F" w14:textId="77777777" w:rsidR="0062657E" w:rsidRPr="00210C3D" w:rsidRDefault="0062657E" w:rsidP="00DF2E7B">
            <w:pPr>
              <w:spacing w:before="60" w:after="60" w:line="240" w:lineRule="auto"/>
              <w:rPr>
                <w:b/>
                <w:szCs w:val="22"/>
              </w:rPr>
            </w:pPr>
            <w:r w:rsidRPr="00210C3D">
              <w:rPr>
                <w:b/>
                <w:szCs w:val="22"/>
              </w:rPr>
              <w:t xml:space="preserve">Agency rating of evidence certainty?  </w:t>
            </w:r>
          </w:p>
        </w:tc>
      </w:tr>
      <w:tr w:rsidR="00210C3D" w:rsidRPr="00210C3D" w14:paraId="7EFE6234" w14:textId="77777777" w:rsidTr="00663BAA">
        <w:tc>
          <w:tcPr>
            <w:tcW w:w="9039" w:type="dxa"/>
            <w:shd w:val="clear" w:color="auto" w:fill="FFFFFF"/>
          </w:tcPr>
          <w:p w14:paraId="50C208E9" w14:textId="501B9ED3" w:rsidR="000A07C8" w:rsidRDefault="000A07C8" w:rsidP="000A07C8">
            <w:pPr>
              <w:pStyle w:val="TableText"/>
              <w:spacing w:before="240" w:after="240" w:line="276" w:lineRule="auto"/>
              <w:rPr>
                <w:sz w:val="22"/>
              </w:rPr>
            </w:pPr>
            <w:r w:rsidRPr="000A07C8">
              <w:rPr>
                <w:sz w:val="22"/>
                <w:lang w:val="en-US" w:bidi="en-US"/>
              </w:rPr>
              <w:t>Evidence</w:t>
            </w:r>
            <w:r>
              <w:rPr>
                <w:sz w:val="22"/>
              </w:rPr>
              <w:t xml:space="preserve"> supporting housing market impact analysis is limited, and suggests significant uncertainty as to the net impacts of the policy, especially on the rental market.</w:t>
            </w:r>
          </w:p>
          <w:p w14:paraId="344610C7" w14:textId="3931210A" w:rsidR="0062657E" w:rsidRPr="00A80A04" w:rsidRDefault="00A80A04" w:rsidP="000A07C8">
            <w:pPr>
              <w:pStyle w:val="TableText"/>
              <w:spacing w:before="240" w:after="240" w:line="276" w:lineRule="auto"/>
              <w:rPr>
                <w:sz w:val="22"/>
              </w:rPr>
            </w:pPr>
            <w:r w:rsidRPr="00A80A04">
              <w:rPr>
                <w:sz w:val="22"/>
              </w:rPr>
              <w:lastRenderedPageBreak/>
              <w:t xml:space="preserve">Fiscal </w:t>
            </w:r>
            <w:r w:rsidRPr="00A80A04">
              <w:rPr>
                <w:sz w:val="22"/>
                <w:lang w:val="en-US"/>
              </w:rPr>
              <w:t xml:space="preserve">impact </w:t>
            </w:r>
            <w:r w:rsidRPr="00A80A04">
              <w:rPr>
                <w:sz w:val="22"/>
              </w:rPr>
              <w:t>estimates have been modelled using Inland Revenue data on negatively-geared rental properties.  Significant simplifying assumptions have been made, on which the fiscal estimates are conditional.</w:t>
            </w:r>
          </w:p>
        </w:tc>
      </w:tr>
    </w:tbl>
    <w:p w14:paraId="000A62C6" w14:textId="77777777" w:rsidR="0062657E" w:rsidRPr="00210C3D" w:rsidRDefault="0062657E" w:rsidP="007B090A">
      <w:pPr>
        <w:pStyle w:val="spacer"/>
        <w:spacing w:line="276" w:lineRule="auto"/>
        <w:rPr>
          <w:sz w:val="22"/>
        </w:rPr>
      </w:pPr>
    </w:p>
    <w:p w14:paraId="297BFF67" w14:textId="77777777" w:rsidR="0062657E" w:rsidRPr="00210C3D" w:rsidRDefault="0062657E" w:rsidP="007B090A">
      <w:pPr>
        <w:spacing w:line="276" w:lineRule="auto"/>
        <w:rPr>
          <w:rFonts w:ascii="Arial Narrow" w:hAnsi="Arial Narrow"/>
          <w:i/>
          <w:szCs w:val="22"/>
        </w:rPr>
      </w:pPr>
      <w:r w:rsidRPr="00210C3D">
        <w:rPr>
          <w:i/>
          <w:szCs w:val="22"/>
        </w:rPr>
        <w:t>To be completed by quality assurers: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210C3D" w:rsidRPr="00210C3D" w14:paraId="01E64C6D" w14:textId="77777777" w:rsidTr="004A11FC">
        <w:trPr>
          <w:trHeight w:val="77"/>
        </w:trPr>
        <w:tc>
          <w:tcPr>
            <w:tcW w:w="9067" w:type="dxa"/>
            <w:shd w:val="clear" w:color="auto" w:fill="99CDDD"/>
            <w:hideMark/>
          </w:tcPr>
          <w:p w14:paraId="1501D21D" w14:textId="77777777" w:rsidR="0062657E" w:rsidRPr="00210C3D" w:rsidRDefault="0062657E" w:rsidP="00DF2E7B">
            <w:pPr>
              <w:spacing w:before="60" w:after="60" w:line="240" w:lineRule="auto"/>
              <w:rPr>
                <w:szCs w:val="22"/>
              </w:rPr>
            </w:pPr>
            <w:r w:rsidRPr="00210C3D">
              <w:rPr>
                <w:szCs w:val="22"/>
              </w:rPr>
              <w:t>Quality Assurance Reviewing Agency:</w:t>
            </w:r>
          </w:p>
        </w:tc>
      </w:tr>
      <w:tr w:rsidR="00210C3D" w:rsidRPr="00210C3D" w14:paraId="35303EB5" w14:textId="77777777" w:rsidTr="00384E9B">
        <w:trPr>
          <w:trHeight w:val="850"/>
        </w:trPr>
        <w:tc>
          <w:tcPr>
            <w:tcW w:w="9067" w:type="dxa"/>
            <w:shd w:val="clear" w:color="auto" w:fill="FFFFFF"/>
          </w:tcPr>
          <w:p w14:paraId="79365A39" w14:textId="382ACF68" w:rsidR="001220BD" w:rsidRPr="005445B6" w:rsidRDefault="005445B6" w:rsidP="005445B6">
            <w:pPr>
              <w:pStyle w:val="TableText"/>
              <w:spacing w:before="240" w:after="240" w:line="276" w:lineRule="auto"/>
              <w:rPr>
                <w:sz w:val="22"/>
              </w:rPr>
            </w:pPr>
            <w:r w:rsidRPr="005445B6">
              <w:rPr>
                <w:sz w:val="22"/>
              </w:rPr>
              <w:t>Inland Revenue</w:t>
            </w:r>
          </w:p>
        </w:tc>
      </w:tr>
      <w:tr w:rsidR="00210C3D" w:rsidRPr="00210C3D" w14:paraId="0B203211" w14:textId="77777777" w:rsidTr="004A11FC">
        <w:trPr>
          <w:trHeight w:val="109"/>
        </w:trPr>
        <w:tc>
          <w:tcPr>
            <w:tcW w:w="9067" w:type="dxa"/>
            <w:shd w:val="clear" w:color="auto" w:fill="99CDDD"/>
          </w:tcPr>
          <w:p w14:paraId="16E2854A" w14:textId="77777777" w:rsidR="0062657E" w:rsidRPr="00210C3D" w:rsidRDefault="0062657E" w:rsidP="00DF2E7B">
            <w:pPr>
              <w:spacing w:before="60" w:after="60" w:line="240" w:lineRule="auto"/>
              <w:rPr>
                <w:szCs w:val="22"/>
              </w:rPr>
            </w:pPr>
            <w:r w:rsidRPr="00210C3D">
              <w:rPr>
                <w:szCs w:val="22"/>
              </w:rPr>
              <w:t>Quality Assurance Assessment:</w:t>
            </w:r>
          </w:p>
        </w:tc>
      </w:tr>
      <w:tr w:rsidR="00210C3D" w:rsidRPr="00210C3D" w14:paraId="675491D5" w14:textId="77777777" w:rsidTr="00384E9B">
        <w:trPr>
          <w:trHeight w:val="850"/>
        </w:trPr>
        <w:tc>
          <w:tcPr>
            <w:tcW w:w="9067" w:type="dxa"/>
            <w:shd w:val="clear" w:color="auto" w:fill="FFFFFF"/>
          </w:tcPr>
          <w:p w14:paraId="013848FC" w14:textId="5B08E2B7" w:rsidR="001220BD" w:rsidRPr="0033213D" w:rsidRDefault="00CC66F6" w:rsidP="00DA18DA">
            <w:pPr>
              <w:pStyle w:val="TableText"/>
              <w:spacing w:before="240" w:after="240" w:line="276" w:lineRule="auto"/>
              <w:rPr>
                <w:sz w:val="22"/>
                <w:highlight w:val="yellow"/>
              </w:rPr>
            </w:pPr>
            <w:r w:rsidRPr="00CC66F6">
              <w:rPr>
                <w:sz w:val="22"/>
              </w:rPr>
              <w:t>The Quality Assurance reviewer at Inland Revenue has reviewed the Ring-fencing rental losses RIA prepared by the Treasury and Inland Revenue and considers that the information and analysis summarised in it partially meets the quality assurance criteria.</w:t>
            </w:r>
          </w:p>
        </w:tc>
      </w:tr>
      <w:tr w:rsidR="00210C3D" w:rsidRPr="00210C3D" w14:paraId="63BE154A" w14:textId="77777777" w:rsidTr="004A11FC">
        <w:trPr>
          <w:trHeight w:val="56"/>
        </w:trPr>
        <w:tc>
          <w:tcPr>
            <w:tcW w:w="9067" w:type="dxa"/>
            <w:shd w:val="clear" w:color="auto" w:fill="99CDDD"/>
          </w:tcPr>
          <w:p w14:paraId="326B919D" w14:textId="77777777" w:rsidR="0062657E" w:rsidRPr="00210C3D" w:rsidRDefault="0062657E" w:rsidP="00DF2E7B">
            <w:pPr>
              <w:spacing w:before="60" w:after="60" w:line="240" w:lineRule="auto"/>
              <w:rPr>
                <w:szCs w:val="22"/>
              </w:rPr>
            </w:pPr>
            <w:r w:rsidRPr="00210C3D">
              <w:rPr>
                <w:szCs w:val="22"/>
              </w:rPr>
              <w:t>Reviewer Comments and Recommendations:</w:t>
            </w:r>
          </w:p>
        </w:tc>
      </w:tr>
      <w:tr w:rsidR="00210C3D" w:rsidRPr="00210C3D" w14:paraId="79DD850C" w14:textId="77777777" w:rsidTr="00384E9B">
        <w:trPr>
          <w:trHeight w:val="850"/>
        </w:trPr>
        <w:tc>
          <w:tcPr>
            <w:tcW w:w="9067" w:type="dxa"/>
            <w:shd w:val="clear" w:color="auto" w:fill="FFFFFF"/>
          </w:tcPr>
          <w:p w14:paraId="029DC557" w14:textId="77777777" w:rsidR="00CC66F6" w:rsidRPr="00CC66F6" w:rsidRDefault="00CC66F6" w:rsidP="00CC66F6">
            <w:pPr>
              <w:pStyle w:val="TableText"/>
              <w:spacing w:before="240" w:line="276" w:lineRule="auto"/>
              <w:rPr>
                <w:sz w:val="22"/>
              </w:rPr>
            </w:pPr>
            <w:r w:rsidRPr="00CC66F6">
              <w:rPr>
                <w:sz w:val="22"/>
              </w:rPr>
              <w:t>The RIA describes how ring-fencing rental losses will meet the stated objective and also provides excellent coverage of the main uncertainties and risks around its likely impact.</w:t>
            </w:r>
          </w:p>
          <w:p w14:paraId="55A6C4EC" w14:textId="07AA60EE" w:rsidR="001220BD" w:rsidRPr="0033213D" w:rsidRDefault="00CC66F6" w:rsidP="00CC66F6">
            <w:pPr>
              <w:pStyle w:val="TableText"/>
              <w:spacing w:before="240" w:after="240" w:line="276" w:lineRule="auto"/>
              <w:rPr>
                <w:sz w:val="22"/>
                <w:highlight w:val="yellow"/>
              </w:rPr>
            </w:pPr>
            <w:r w:rsidRPr="00CC66F6">
              <w:rPr>
                <w:sz w:val="22"/>
              </w:rPr>
              <w:t>The analysis summarised in the RIA is as good as could be expected in light of the constrained range of options considered and the uncertainties over the net impacts of loss ring-fencing on the housing market.  Even so, the analysis only partially meets the quality assurance criteria primarily because it is not possible to be confident that the stated objective is being met in the best way and with the least unintended consequences.</w:t>
            </w:r>
          </w:p>
        </w:tc>
      </w:tr>
    </w:tbl>
    <w:p w14:paraId="42460C1B" w14:textId="77777777" w:rsidR="0062657E" w:rsidRPr="00210C3D" w:rsidRDefault="0062657E" w:rsidP="00AA6A54">
      <w:pPr>
        <w:pStyle w:val="spacer"/>
      </w:pPr>
      <w:r w:rsidRPr="00210C3D">
        <w:br w:type="page"/>
      </w:r>
    </w:p>
    <w:p w14:paraId="144B2D45" w14:textId="77777777" w:rsidR="0062657E" w:rsidRDefault="0062657E" w:rsidP="007B090A">
      <w:pPr>
        <w:pStyle w:val="Heading1"/>
        <w:spacing w:line="276" w:lineRule="auto"/>
        <w:rPr>
          <w:color w:val="0082AB"/>
        </w:rPr>
      </w:pPr>
      <w:r w:rsidRPr="0005691A">
        <w:rPr>
          <w:color w:val="0082AB"/>
        </w:rPr>
        <w:lastRenderedPageBreak/>
        <w:t>Impact Statement</w:t>
      </w:r>
      <w:r w:rsidR="00210C3D">
        <w:rPr>
          <w:color w:val="0082AB"/>
        </w:rPr>
        <w:t>:</w:t>
      </w:r>
      <w:r w:rsidRPr="0005691A">
        <w:rPr>
          <w:color w:val="0082AB"/>
        </w:rPr>
        <w:t xml:space="preserve"> </w:t>
      </w:r>
      <w:r w:rsidR="008315BA">
        <w:rPr>
          <w:color w:val="0082AB"/>
        </w:rPr>
        <w:t>Ring-fencing rental losses</w:t>
      </w:r>
    </w:p>
    <w:p w14:paraId="30F0B16C" w14:textId="77777777" w:rsidR="00210C3D" w:rsidRPr="00210C3D" w:rsidRDefault="00210C3D" w:rsidP="00210C3D">
      <w:pPr>
        <w:tabs>
          <w:tab w:val="left" w:pos="2550"/>
        </w:tabs>
        <w:spacing w:after="0" w:line="276" w:lineRule="auto"/>
        <w:rPr>
          <w:rFonts w:cs="Arial"/>
          <w:szCs w:val="22"/>
        </w:rPr>
      </w:pPr>
    </w:p>
    <w:p w14:paraId="1CD33841" w14:textId="77777777" w:rsidR="0062657E" w:rsidRPr="0005691A" w:rsidRDefault="0062657E" w:rsidP="007B090A">
      <w:pPr>
        <w:tabs>
          <w:tab w:val="left" w:pos="2550"/>
        </w:tabs>
        <w:spacing w:line="276" w:lineRule="auto"/>
        <w:rPr>
          <w:rFonts w:cs="Arial"/>
          <w:b/>
          <w:color w:val="0082AB"/>
          <w:spacing w:val="20"/>
          <w:w w:val="90"/>
          <w:sz w:val="32"/>
          <w:szCs w:val="24"/>
        </w:rPr>
      </w:pPr>
      <w:r w:rsidRPr="0005691A">
        <w:rPr>
          <w:rFonts w:cs="Arial"/>
          <w:b/>
          <w:color w:val="0082AB"/>
          <w:spacing w:val="20"/>
          <w:w w:val="90"/>
          <w:sz w:val="32"/>
          <w:szCs w:val="24"/>
        </w:rPr>
        <w:t>Section 1: General information</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14:paraId="2403884F" w14:textId="77777777" w:rsidTr="00663BAA">
        <w:tc>
          <w:tcPr>
            <w:tcW w:w="5000" w:type="pct"/>
            <w:shd w:val="clear" w:color="auto" w:fill="99CDDD"/>
            <w:hideMark/>
          </w:tcPr>
          <w:p w14:paraId="6E21DC0B" w14:textId="77777777" w:rsidR="0062657E" w:rsidRPr="009C4129" w:rsidRDefault="0062657E" w:rsidP="00DF2E7B">
            <w:pPr>
              <w:spacing w:before="60" w:after="60" w:line="240" w:lineRule="auto"/>
              <w:rPr>
                <w:rFonts w:cs="Arial"/>
                <w:b/>
                <w:szCs w:val="22"/>
              </w:rPr>
            </w:pPr>
            <w:r w:rsidRPr="009C4129">
              <w:rPr>
                <w:rFonts w:cs="Arial"/>
                <w:b/>
                <w:szCs w:val="22"/>
              </w:rPr>
              <w:t>Purpose</w:t>
            </w:r>
          </w:p>
        </w:tc>
      </w:tr>
      <w:tr w:rsidR="0062657E" w:rsidRPr="009C4129" w14:paraId="6F713781" w14:textId="77777777" w:rsidTr="00663BAA">
        <w:trPr>
          <w:trHeight w:val="680"/>
        </w:trPr>
        <w:tc>
          <w:tcPr>
            <w:tcW w:w="5000" w:type="pct"/>
            <w:shd w:val="clear" w:color="auto" w:fill="FFFFFF"/>
          </w:tcPr>
          <w:p w14:paraId="579AF9E2" w14:textId="2A0D427F" w:rsidR="0062657E" w:rsidRPr="0033213D" w:rsidRDefault="00013C93" w:rsidP="008C7BB4">
            <w:pPr>
              <w:pStyle w:val="TableText"/>
              <w:numPr>
                <w:ilvl w:val="2"/>
                <w:numId w:val="39"/>
              </w:numPr>
              <w:spacing w:before="240" w:after="240" w:line="276" w:lineRule="auto"/>
              <w:rPr>
                <w:rFonts w:cs="Arial"/>
                <w:color w:val="000000"/>
                <w:sz w:val="22"/>
              </w:rPr>
            </w:pPr>
            <w:r w:rsidRPr="001A1EA5">
              <w:rPr>
                <w:rFonts w:cs="Arial"/>
                <w:color w:val="000000"/>
                <w:sz w:val="22"/>
              </w:rPr>
              <w:t>The Treasury</w:t>
            </w:r>
            <w:r w:rsidR="0062657E" w:rsidRPr="001A1EA5">
              <w:rPr>
                <w:rFonts w:cs="Arial"/>
                <w:color w:val="000000"/>
                <w:sz w:val="22"/>
              </w:rPr>
              <w:t xml:space="preserve"> </w:t>
            </w:r>
            <w:r w:rsidR="001A1EA5">
              <w:rPr>
                <w:rFonts w:cs="Arial"/>
                <w:color w:val="000000"/>
                <w:sz w:val="22"/>
              </w:rPr>
              <w:t xml:space="preserve">and Inland Revenue </w:t>
            </w:r>
            <w:r w:rsidR="0062657E" w:rsidRPr="001A1EA5">
              <w:rPr>
                <w:rFonts w:cs="Arial"/>
                <w:color w:val="000000"/>
                <w:sz w:val="22"/>
              </w:rPr>
              <w:t xml:space="preserve">are solely responsible for the analysis and advice set out in this Regulatory Impact </w:t>
            </w:r>
            <w:r w:rsidR="001A1EA5">
              <w:rPr>
                <w:rFonts w:cs="Arial"/>
                <w:color w:val="000000"/>
                <w:sz w:val="22"/>
              </w:rPr>
              <w:t>Assessment</w:t>
            </w:r>
            <w:r w:rsidR="0062657E" w:rsidRPr="001A1EA5">
              <w:rPr>
                <w:rFonts w:cs="Arial"/>
                <w:color w:val="000000"/>
                <w:sz w:val="22"/>
              </w:rPr>
              <w:t xml:space="preserve">, except as otherwise explicitly indicated.  </w:t>
            </w:r>
            <w:r w:rsidR="0062657E" w:rsidRPr="0033213D">
              <w:rPr>
                <w:rFonts w:cs="Arial"/>
                <w:color w:val="000000"/>
                <w:sz w:val="22"/>
              </w:rPr>
              <w:t>This analysis and advice has been produced for the purpose of informing</w:t>
            </w:r>
            <w:r w:rsidR="0033213D" w:rsidRPr="0033213D">
              <w:rPr>
                <w:rFonts w:cs="Arial"/>
                <w:color w:val="000000"/>
                <w:sz w:val="22"/>
              </w:rPr>
              <w:t xml:space="preserve"> </w:t>
            </w:r>
            <w:r w:rsidR="0062657E" w:rsidRPr="0033213D">
              <w:rPr>
                <w:rFonts w:cs="Arial"/>
                <w:sz w:val="22"/>
              </w:rPr>
              <w:t>key policy decisions to be taken by Cabinet</w:t>
            </w:r>
            <w:r w:rsidR="00171C82">
              <w:rPr>
                <w:rFonts w:cs="Arial"/>
                <w:sz w:val="22"/>
              </w:rPr>
              <w:t>.</w:t>
            </w:r>
          </w:p>
        </w:tc>
      </w:tr>
    </w:tbl>
    <w:p w14:paraId="656B38FC" w14:textId="77777777" w:rsidR="009C4129" w:rsidRPr="009C4129" w:rsidRDefault="009C4129" w:rsidP="0049234F">
      <w:pPr>
        <w:pStyle w:val="space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14:paraId="162D70C5" w14:textId="77777777" w:rsidTr="00663BAA">
        <w:tc>
          <w:tcPr>
            <w:tcW w:w="5000" w:type="pct"/>
            <w:shd w:val="clear" w:color="auto" w:fill="99CDDD"/>
            <w:hideMark/>
          </w:tcPr>
          <w:p w14:paraId="5D7615C1" w14:textId="77777777" w:rsidR="0062657E" w:rsidRPr="009C4129" w:rsidRDefault="0062657E" w:rsidP="00DF2E7B">
            <w:pPr>
              <w:keepNext/>
              <w:spacing w:before="60" w:after="60" w:line="240" w:lineRule="auto"/>
              <w:rPr>
                <w:rFonts w:cs="Arial"/>
                <w:b/>
                <w:color w:val="002060"/>
                <w:szCs w:val="22"/>
              </w:rPr>
            </w:pPr>
            <w:r w:rsidRPr="009C4129">
              <w:rPr>
                <w:rFonts w:cs="Arial"/>
                <w:b/>
                <w:szCs w:val="22"/>
              </w:rPr>
              <w:t>Key Limitations or Constraints on Analysis</w:t>
            </w:r>
          </w:p>
        </w:tc>
      </w:tr>
      <w:tr w:rsidR="0062657E" w:rsidRPr="009C4129" w14:paraId="24374560" w14:textId="77777777" w:rsidTr="006D2AF3">
        <w:trPr>
          <w:trHeight w:val="884"/>
        </w:trPr>
        <w:tc>
          <w:tcPr>
            <w:tcW w:w="5000" w:type="pct"/>
            <w:shd w:val="clear" w:color="auto" w:fill="auto"/>
          </w:tcPr>
          <w:p w14:paraId="2A22ACCC" w14:textId="0BBC104B" w:rsidR="0062657E" w:rsidRPr="00E6631F" w:rsidRDefault="00013C93" w:rsidP="00DA18DA">
            <w:pPr>
              <w:pStyle w:val="TableText"/>
              <w:numPr>
                <w:ilvl w:val="2"/>
                <w:numId w:val="10"/>
              </w:numPr>
              <w:spacing w:before="240" w:after="240" w:line="276" w:lineRule="auto"/>
              <w:ind w:left="709" w:hanging="709"/>
              <w:rPr>
                <w:rFonts w:cs="Arial"/>
                <w:sz w:val="22"/>
              </w:rPr>
            </w:pPr>
            <w:r w:rsidRPr="00E6631F">
              <w:rPr>
                <w:rFonts w:cs="Arial"/>
                <w:sz w:val="22"/>
              </w:rPr>
              <w:t xml:space="preserve">The key </w:t>
            </w:r>
            <w:r w:rsidRPr="00E6631F">
              <w:rPr>
                <w:sz w:val="22"/>
              </w:rPr>
              <w:t>limitations</w:t>
            </w:r>
            <w:r w:rsidRPr="00E6631F">
              <w:rPr>
                <w:rFonts w:cs="Arial"/>
                <w:sz w:val="22"/>
              </w:rPr>
              <w:t xml:space="preserve"> and constraints applying to this analysis are as follows:</w:t>
            </w:r>
          </w:p>
          <w:p w14:paraId="6A063560" w14:textId="32FEA1B5" w:rsidR="001B65B8" w:rsidRDefault="00E30FC3" w:rsidP="00DA18DA">
            <w:pPr>
              <w:keepNext/>
              <w:numPr>
                <w:ilvl w:val="0"/>
                <w:numId w:val="6"/>
              </w:numPr>
              <w:spacing w:after="0" w:line="276" w:lineRule="auto"/>
              <w:ind w:left="1134" w:hanging="425"/>
              <w:rPr>
                <w:rFonts w:cs="Arial"/>
                <w:szCs w:val="22"/>
              </w:rPr>
            </w:pPr>
            <w:r>
              <w:rPr>
                <w:rFonts w:cs="Arial"/>
                <w:szCs w:val="22"/>
                <w:u w:val="single"/>
              </w:rPr>
              <w:t>Constrained</w:t>
            </w:r>
            <w:r w:rsidR="00013C93">
              <w:rPr>
                <w:rFonts w:cs="Arial"/>
                <w:szCs w:val="22"/>
                <w:u w:val="single"/>
              </w:rPr>
              <w:t xml:space="preserve"> </w:t>
            </w:r>
            <w:r w:rsidR="00934694">
              <w:rPr>
                <w:rFonts w:cs="Arial"/>
                <w:szCs w:val="22"/>
                <w:u w:val="single"/>
              </w:rPr>
              <w:t xml:space="preserve">range of </w:t>
            </w:r>
            <w:r w:rsidR="00013C93">
              <w:rPr>
                <w:rFonts w:cs="Arial"/>
                <w:szCs w:val="22"/>
                <w:u w:val="single"/>
              </w:rPr>
              <w:t>option</w:t>
            </w:r>
            <w:r>
              <w:rPr>
                <w:rFonts w:cs="Arial"/>
                <w:szCs w:val="22"/>
                <w:u w:val="single"/>
              </w:rPr>
              <w:t>s</w:t>
            </w:r>
            <w:r w:rsidR="00013C93">
              <w:rPr>
                <w:rFonts w:cs="Arial"/>
                <w:szCs w:val="22"/>
                <w:u w:val="single"/>
              </w:rPr>
              <w:t xml:space="preserve"> </w:t>
            </w:r>
            <w:r w:rsidR="00934694">
              <w:rPr>
                <w:rFonts w:cs="Arial"/>
                <w:szCs w:val="22"/>
                <w:u w:val="single"/>
              </w:rPr>
              <w:t>considered</w:t>
            </w:r>
            <w:r w:rsidR="00013C93">
              <w:rPr>
                <w:rFonts w:cs="Arial"/>
                <w:szCs w:val="22"/>
                <w:u w:val="single"/>
              </w:rPr>
              <w:t>:</w:t>
            </w:r>
            <w:r w:rsidR="00013C93">
              <w:rPr>
                <w:rFonts w:cs="Arial"/>
                <w:szCs w:val="22"/>
              </w:rPr>
              <w:t xml:space="preserve"> </w:t>
            </w:r>
            <w:r>
              <w:rPr>
                <w:rFonts w:cs="Arial"/>
                <w:szCs w:val="22"/>
              </w:rPr>
              <w:t>T</w:t>
            </w:r>
            <w:r w:rsidR="00013C93">
              <w:rPr>
                <w:rFonts w:cs="Arial"/>
                <w:szCs w:val="22"/>
              </w:rPr>
              <w:t>he Government has already announced its intention</w:t>
            </w:r>
            <w:r w:rsidR="0097173F">
              <w:rPr>
                <w:rFonts w:cs="Arial"/>
                <w:szCs w:val="22"/>
              </w:rPr>
              <w:t xml:space="preserve"> to</w:t>
            </w:r>
            <w:r w:rsidR="00013C93">
              <w:rPr>
                <w:rFonts w:cs="Arial"/>
                <w:szCs w:val="22"/>
              </w:rPr>
              <w:t xml:space="preserve"> introduce ring</w:t>
            </w:r>
            <w:r>
              <w:rPr>
                <w:rFonts w:cs="Arial"/>
                <w:szCs w:val="22"/>
              </w:rPr>
              <w:t>-fencing of rental losses.</w:t>
            </w:r>
            <w:r w:rsidR="00013C93">
              <w:rPr>
                <w:rFonts w:cs="Arial"/>
                <w:szCs w:val="22"/>
              </w:rPr>
              <w:t xml:space="preserve"> </w:t>
            </w:r>
            <w:r w:rsidR="00BB136A">
              <w:rPr>
                <w:rFonts w:cs="Arial"/>
                <w:szCs w:val="22"/>
              </w:rPr>
              <w:t xml:space="preserve"> </w:t>
            </w:r>
            <w:r>
              <w:rPr>
                <w:rFonts w:cs="Arial"/>
                <w:szCs w:val="22"/>
              </w:rPr>
              <w:t xml:space="preserve">Options </w:t>
            </w:r>
            <w:r w:rsidR="00934694">
              <w:rPr>
                <w:rFonts w:cs="Arial"/>
                <w:szCs w:val="22"/>
              </w:rPr>
              <w:t xml:space="preserve">considered are therefore </w:t>
            </w:r>
            <w:r w:rsidR="00013C93">
              <w:rPr>
                <w:rFonts w:cs="Arial"/>
                <w:szCs w:val="22"/>
              </w:rPr>
              <w:t xml:space="preserve">focussed </w:t>
            </w:r>
            <w:r w:rsidR="008F10F1">
              <w:rPr>
                <w:rFonts w:cs="Arial"/>
                <w:szCs w:val="22"/>
              </w:rPr>
              <w:t xml:space="preserve">on </w:t>
            </w:r>
            <w:r w:rsidR="00177618">
              <w:rPr>
                <w:rFonts w:cs="Arial"/>
                <w:szCs w:val="22"/>
              </w:rPr>
              <w:t>key</w:t>
            </w:r>
            <w:r>
              <w:rPr>
                <w:rFonts w:cs="Arial"/>
                <w:szCs w:val="22"/>
              </w:rPr>
              <w:t xml:space="preserve"> design settings </w:t>
            </w:r>
            <w:r w:rsidR="001B65B8">
              <w:rPr>
                <w:rFonts w:cs="Arial"/>
                <w:szCs w:val="22"/>
              </w:rPr>
              <w:t>for that policy</w:t>
            </w:r>
            <w:r>
              <w:rPr>
                <w:rFonts w:cs="Arial"/>
                <w:szCs w:val="22"/>
              </w:rPr>
              <w:t>, rather than consideration of alternatives to loss ring-fencing</w:t>
            </w:r>
            <w:r w:rsidR="00013C93">
              <w:rPr>
                <w:rFonts w:cs="Arial"/>
                <w:szCs w:val="22"/>
              </w:rPr>
              <w:t>.</w:t>
            </w:r>
          </w:p>
          <w:p w14:paraId="0B3A92EC" w14:textId="77777777" w:rsidR="001B65B8" w:rsidRDefault="001B65B8" w:rsidP="001B65B8">
            <w:pPr>
              <w:keepNext/>
              <w:spacing w:after="0" w:line="276" w:lineRule="auto"/>
              <w:ind w:left="360"/>
              <w:rPr>
                <w:rFonts w:cs="Arial"/>
                <w:szCs w:val="22"/>
              </w:rPr>
            </w:pPr>
          </w:p>
          <w:p w14:paraId="1BF16B9E" w14:textId="7959DAB2" w:rsidR="008F10F1" w:rsidRDefault="001B65B8" w:rsidP="00C0786F">
            <w:pPr>
              <w:keepNext/>
              <w:numPr>
                <w:ilvl w:val="0"/>
                <w:numId w:val="6"/>
              </w:numPr>
              <w:spacing w:after="0" w:line="276" w:lineRule="auto"/>
              <w:ind w:left="1134" w:hanging="425"/>
              <w:rPr>
                <w:rFonts w:cs="Arial"/>
                <w:szCs w:val="22"/>
              </w:rPr>
            </w:pPr>
            <w:r>
              <w:rPr>
                <w:rFonts w:cs="Arial"/>
                <w:szCs w:val="22"/>
                <w:u w:val="single"/>
              </w:rPr>
              <w:t>Time constraints:</w:t>
            </w:r>
            <w:r>
              <w:rPr>
                <w:rFonts w:cs="Arial"/>
                <w:szCs w:val="22"/>
              </w:rPr>
              <w:t xml:space="preserve"> Ministers have decided to plan for the introduction of loss ring-fencing rules for the 2019-20 tax year. </w:t>
            </w:r>
            <w:r w:rsidR="00BB136A">
              <w:rPr>
                <w:rFonts w:cs="Arial"/>
                <w:szCs w:val="22"/>
              </w:rPr>
              <w:t xml:space="preserve"> </w:t>
            </w:r>
            <w:r w:rsidR="00FD4C6C">
              <w:rPr>
                <w:rFonts w:cs="Arial"/>
                <w:szCs w:val="22"/>
              </w:rPr>
              <w:t xml:space="preserve">With that commencement date in mind, </w:t>
            </w:r>
            <w:r w:rsidR="00C0786F">
              <w:rPr>
                <w:rFonts w:cs="Arial"/>
                <w:szCs w:val="22"/>
              </w:rPr>
              <w:t xml:space="preserve">the proposals are required to be included in legislation introduced before the start of the 2019-20 income year to give </w:t>
            </w:r>
            <w:r w:rsidR="00BB136A" w:rsidRPr="00C0786F">
              <w:rPr>
                <w:rFonts w:cs="Arial"/>
                <w:szCs w:val="22"/>
              </w:rPr>
              <w:t>taxpayers a degree of certainty about how the rules will operate</w:t>
            </w:r>
            <w:r w:rsidRPr="00C0786F">
              <w:rPr>
                <w:rFonts w:cs="Arial"/>
                <w:szCs w:val="22"/>
              </w:rPr>
              <w:t>.</w:t>
            </w:r>
            <w:r w:rsidR="00C0786F">
              <w:rPr>
                <w:rFonts w:cs="Arial"/>
                <w:szCs w:val="22"/>
              </w:rPr>
              <w:t xml:space="preserve">  </w:t>
            </w:r>
          </w:p>
          <w:p w14:paraId="7B75E6E4" w14:textId="77777777" w:rsidR="00C0786F" w:rsidRPr="00C0786F" w:rsidRDefault="00C0786F" w:rsidP="00C0786F">
            <w:pPr>
              <w:keepNext/>
              <w:spacing w:after="0" w:line="276" w:lineRule="auto"/>
              <w:rPr>
                <w:rFonts w:cs="Arial"/>
                <w:szCs w:val="22"/>
              </w:rPr>
            </w:pPr>
          </w:p>
          <w:p w14:paraId="61D7A786" w14:textId="2E553F83" w:rsidR="008F10F1" w:rsidRDefault="001B65B8" w:rsidP="00DA18DA">
            <w:pPr>
              <w:keepNext/>
              <w:numPr>
                <w:ilvl w:val="0"/>
                <w:numId w:val="6"/>
              </w:numPr>
              <w:spacing w:after="0" w:line="276" w:lineRule="auto"/>
              <w:ind w:left="1134" w:hanging="425"/>
              <w:rPr>
                <w:rFonts w:cs="Arial"/>
                <w:szCs w:val="22"/>
              </w:rPr>
            </w:pPr>
            <w:r>
              <w:rPr>
                <w:rFonts w:cs="Arial"/>
                <w:szCs w:val="22"/>
                <w:u w:val="single"/>
              </w:rPr>
              <w:t>Lack of empirical data:</w:t>
            </w:r>
            <w:r>
              <w:rPr>
                <w:rFonts w:cs="Arial"/>
                <w:szCs w:val="22"/>
              </w:rPr>
              <w:t xml:space="preserve"> </w:t>
            </w:r>
            <w:r w:rsidR="003C78E9" w:rsidRPr="003C78E9">
              <w:rPr>
                <w:szCs w:val="22"/>
              </w:rPr>
              <w:t xml:space="preserve">The </w:t>
            </w:r>
            <w:r w:rsidR="003C78E9" w:rsidRPr="00DA18DA">
              <w:rPr>
                <w:rFonts w:cs="Arial"/>
                <w:szCs w:val="22"/>
              </w:rPr>
              <w:t>analysis</w:t>
            </w:r>
            <w:r w:rsidR="003C78E9" w:rsidRPr="003C78E9">
              <w:rPr>
                <w:szCs w:val="22"/>
              </w:rPr>
              <w:t xml:space="preserve"> on the impact of this policy on the housing market is constrained by a lack of </w:t>
            </w:r>
            <w:r w:rsidR="003C78E9" w:rsidRPr="00B43E60">
              <w:rPr>
                <w:rFonts w:cs="Arial"/>
                <w:szCs w:val="22"/>
              </w:rPr>
              <w:t>empirical data.</w:t>
            </w:r>
            <w:r w:rsidR="00B43E60" w:rsidRPr="00B43E60">
              <w:rPr>
                <w:rFonts w:cs="Arial"/>
                <w:szCs w:val="22"/>
              </w:rPr>
              <w:t xml:space="preserve">  There are few recent examples of countries implementing loss ring-fencing rules. </w:t>
            </w:r>
            <w:r w:rsidR="00B43E60">
              <w:rPr>
                <w:rFonts w:cs="Arial"/>
                <w:szCs w:val="22"/>
              </w:rPr>
              <w:t xml:space="preserve"> </w:t>
            </w:r>
            <w:r w:rsidR="00B43E60" w:rsidRPr="00B43E60">
              <w:rPr>
                <w:rFonts w:cs="Arial"/>
                <w:szCs w:val="22"/>
              </w:rPr>
              <w:t xml:space="preserve">In cases where </w:t>
            </w:r>
            <w:r w:rsidR="00B43E60">
              <w:rPr>
                <w:rFonts w:cs="Arial"/>
                <w:szCs w:val="22"/>
              </w:rPr>
              <w:t>such rules</w:t>
            </w:r>
            <w:r w:rsidR="00B43E60" w:rsidRPr="00B43E60">
              <w:rPr>
                <w:rFonts w:cs="Arial"/>
                <w:szCs w:val="22"/>
              </w:rPr>
              <w:t xml:space="preserve"> have</w:t>
            </w:r>
            <w:r w:rsidR="00B43E60">
              <w:rPr>
                <w:rFonts w:cs="Arial"/>
                <w:szCs w:val="22"/>
              </w:rPr>
              <w:t xml:space="preserve"> been introduced</w:t>
            </w:r>
            <w:r w:rsidR="00B43E60" w:rsidRPr="00B43E60">
              <w:rPr>
                <w:rFonts w:cs="Arial"/>
                <w:szCs w:val="22"/>
              </w:rPr>
              <w:t xml:space="preserve"> (for example, in Australia in the 1980s), it has been difficult to tease out the effects of loss ring-fencing rules on observed changes in the housing market.</w:t>
            </w:r>
            <w:r w:rsidR="003C78E9" w:rsidRPr="00B43E60">
              <w:rPr>
                <w:rFonts w:cs="Arial"/>
                <w:szCs w:val="22"/>
              </w:rPr>
              <w:t xml:space="preserve">  </w:t>
            </w:r>
            <w:r w:rsidR="0097173F" w:rsidRPr="00B43E60">
              <w:rPr>
                <w:rFonts w:cs="Arial"/>
                <w:szCs w:val="22"/>
              </w:rPr>
              <w:t>Whe</w:t>
            </w:r>
            <w:r w:rsidR="0097173F">
              <w:rPr>
                <w:rFonts w:cs="Arial"/>
                <w:szCs w:val="22"/>
              </w:rPr>
              <w:t>n</w:t>
            </w:r>
            <w:r w:rsidR="0097173F" w:rsidRPr="00B43E60">
              <w:rPr>
                <w:rFonts w:cs="Arial"/>
                <w:szCs w:val="22"/>
              </w:rPr>
              <w:t xml:space="preserve"> </w:t>
            </w:r>
            <w:r w:rsidR="003C78E9" w:rsidRPr="00B43E60">
              <w:rPr>
                <w:rFonts w:cs="Arial"/>
                <w:szCs w:val="22"/>
              </w:rPr>
              <w:t>empirical evidence is not available, a theoretical assessment</w:t>
            </w:r>
            <w:r w:rsidR="003C78E9" w:rsidRPr="003C78E9">
              <w:rPr>
                <w:szCs w:val="22"/>
              </w:rPr>
              <w:t xml:space="preserve"> of the expected impact has been provided.</w:t>
            </w:r>
          </w:p>
          <w:p w14:paraId="349C93B9" w14:textId="77777777" w:rsidR="003C78E9" w:rsidRPr="003C78E9" w:rsidRDefault="003C78E9" w:rsidP="003C78E9">
            <w:pPr>
              <w:keepNext/>
              <w:spacing w:after="0" w:line="276" w:lineRule="auto"/>
              <w:ind w:left="360"/>
              <w:rPr>
                <w:rFonts w:cs="Arial"/>
                <w:szCs w:val="22"/>
              </w:rPr>
            </w:pPr>
          </w:p>
          <w:p w14:paraId="775C1FA7" w14:textId="1E2B4CDD" w:rsidR="0062657E" w:rsidRPr="009C4129" w:rsidRDefault="00F03C46" w:rsidP="006943B3">
            <w:pPr>
              <w:keepNext/>
              <w:numPr>
                <w:ilvl w:val="0"/>
                <w:numId w:val="6"/>
              </w:numPr>
              <w:spacing w:after="0" w:line="276" w:lineRule="auto"/>
              <w:ind w:left="1134" w:hanging="425"/>
              <w:rPr>
                <w:rFonts w:cs="Arial"/>
                <w:szCs w:val="22"/>
              </w:rPr>
            </w:pPr>
            <w:r>
              <w:rPr>
                <w:rFonts w:cs="Arial"/>
                <w:szCs w:val="22"/>
                <w:u w:val="single"/>
              </w:rPr>
              <w:t>Assumptions underpinning impact analysis</w:t>
            </w:r>
            <w:r w:rsidR="008F10F1">
              <w:rPr>
                <w:rFonts w:cs="Arial"/>
                <w:szCs w:val="22"/>
                <w:u w:val="single"/>
              </w:rPr>
              <w:t>:</w:t>
            </w:r>
            <w:r w:rsidR="008F10F1" w:rsidRPr="00A80A04">
              <w:rPr>
                <w:rFonts w:cs="Arial"/>
                <w:szCs w:val="22"/>
              </w:rPr>
              <w:t xml:space="preserve"> </w:t>
            </w:r>
            <w:r w:rsidR="00A80A04" w:rsidRPr="00DA18DA">
              <w:rPr>
                <w:rFonts w:cs="Arial"/>
                <w:szCs w:val="22"/>
              </w:rPr>
              <w:t>Ring</w:t>
            </w:r>
            <w:r w:rsidR="00A80A04" w:rsidRPr="00A80A04">
              <w:rPr>
                <w:szCs w:val="22"/>
              </w:rPr>
              <w:t xml:space="preserve">-fencing of rental losses is estimated to increase tax revenue by approximately $190m per annum once fully implemented.  The primary caveat to this revenue forecast is that it </w:t>
            </w:r>
            <w:r w:rsidR="00A80A04" w:rsidRPr="00A80A04">
              <w:rPr>
                <w:szCs w:val="22"/>
                <w:lang w:eastAsia="en-NZ"/>
              </w:rPr>
              <w:t>assumes static behaviour.  A change towards greater equi</w:t>
            </w:r>
            <w:r w:rsidR="00966144">
              <w:rPr>
                <w:szCs w:val="22"/>
                <w:lang w:eastAsia="en-NZ"/>
              </w:rPr>
              <w:t>ty investment in rental housing</w:t>
            </w:r>
            <w:r w:rsidR="006943B3">
              <w:rPr>
                <w:szCs w:val="22"/>
                <w:lang w:eastAsia="en-NZ"/>
              </w:rPr>
              <w:t xml:space="preserve">, or a change away from investment in residential rental properties altogether, </w:t>
            </w:r>
            <w:r w:rsidR="00A80A04" w:rsidRPr="00A80A04">
              <w:rPr>
                <w:szCs w:val="22"/>
                <w:lang w:eastAsia="en-NZ"/>
              </w:rPr>
              <w:t>could displace revenue from other taxable investments.  This impact is not captured in the revenue forecast.</w:t>
            </w:r>
            <w:r w:rsidR="006D2AF3" w:rsidRPr="009C4129">
              <w:rPr>
                <w:rFonts w:cs="Arial"/>
                <w:szCs w:val="22"/>
              </w:rPr>
              <w:t xml:space="preserve"> </w:t>
            </w:r>
          </w:p>
        </w:tc>
      </w:tr>
    </w:tbl>
    <w:p w14:paraId="08F03F2A" w14:textId="77777777" w:rsidR="00A512E9" w:rsidRDefault="00A512E9">
      <w:bookmarkStart w:id="1" w:name="_Toc363047038"/>
      <w:bookmarkStart w:id="2" w:name="_Toc362940530"/>
      <w:bookmarkStart w:id="3" w:name="_Toc362618966"/>
      <w:bookmarkStart w:id="4" w:name="_Toc362434720"/>
      <w:bookmarkStart w:id="5" w:name="_Toc362368098"/>
      <w:r>
        <w:br w:type="page"/>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2657E" w:rsidRPr="009C4129" w14:paraId="36AA3E65" w14:textId="77777777" w:rsidTr="00663BAA">
        <w:tc>
          <w:tcPr>
            <w:tcW w:w="5000" w:type="pct"/>
            <w:shd w:val="clear" w:color="auto" w:fill="99CDDD"/>
            <w:hideMark/>
          </w:tcPr>
          <w:p w14:paraId="776D4984" w14:textId="3817ED1D" w:rsidR="0062657E" w:rsidRPr="009C4129" w:rsidRDefault="0062657E" w:rsidP="0086576C">
            <w:pPr>
              <w:spacing w:before="60" w:after="60" w:line="240" w:lineRule="auto"/>
              <w:rPr>
                <w:rFonts w:cs="Arial"/>
                <w:b/>
                <w:szCs w:val="22"/>
              </w:rPr>
            </w:pPr>
            <w:r w:rsidRPr="009C4129">
              <w:rPr>
                <w:rFonts w:cs="Arial"/>
                <w:b/>
                <w:szCs w:val="22"/>
              </w:rPr>
              <w:lastRenderedPageBreak/>
              <w:t>Responsible Manager:</w:t>
            </w:r>
          </w:p>
        </w:tc>
      </w:tr>
      <w:tr w:rsidR="0062657E" w:rsidRPr="009C4129" w14:paraId="7971D513" w14:textId="77777777" w:rsidTr="00663BAA">
        <w:trPr>
          <w:trHeight w:val="3404"/>
        </w:trPr>
        <w:tc>
          <w:tcPr>
            <w:tcW w:w="5000" w:type="pct"/>
            <w:shd w:val="clear" w:color="auto" w:fill="FFFFFF"/>
          </w:tcPr>
          <w:p w14:paraId="3E931938" w14:textId="7C855B5C" w:rsidR="0062657E" w:rsidRDefault="0062657E" w:rsidP="0049234F">
            <w:pPr>
              <w:spacing w:before="60" w:line="276" w:lineRule="auto"/>
              <w:ind w:left="284" w:hanging="284"/>
              <w:jc w:val="both"/>
              <w:rPr>
                <w:rFonts w:cs="Arial"/>
                <w:szCs w:val="22"/>
              </w:rPr>
            </w:pPr>
          </w:p>
          <w:p w14:paraId="72B1844C" w14:textId="77777777" w:rsidR="00FD4C6C" w:rsidRDefault="00FD4C6C" w:rsidP="0049234F">
            <w:pPr>
              <w:spacing w:before="60" w:line="276" w:lineRule="auto"/>
              <w:ind w:left="284" w:hanging="284"/>
              <w:jc w:val="both"/>
              <w:rPr>
                <w:rFonts w:cs="Arial"/>
                <w:szCs w:val="22"/>
              </w:rPr>
            </w:pPr>
          </w:p>
          <w:p w14:paraId="2486FA3A" w14:textId="77777777" w:rsidR="00FD4C6C" w:rsidRPr="009C4129" w:rsidRDefault="00FD4C6C" w:rsidP="0049234F">
            <w:pPr>
              <w:spacing w:before="60" w:line="276" w:lineRule="auto"/>
              <w:ind w:left="284" w:hanging="284"/>
              <w:jc w:val="both"/>
              <w:rPr>
                <w:rFonts w:cs="Arial"/>
                <w:szCs w:val="22"/>
              </w:rPr>
            </w:pPr>
          </w:p>
          <w:p w14:paraId="00843EC6" w14:textId="77777777" w:rsidR="0062657E" w:rsidRDefault="00FD4C6C" w:rsidP="00FD4C6C">
            <w:pPr>
              <w:spacing w:after="0" w:line="276" w:lineRule="auto"/>
              <w:ind w:left="284" w:hanging="284"/>
              <w:jc w:val="both"/>
              <w:rPr>
                <w:rFonts w:cs="Arial"/>
                <w:szCs w:val="22"/>
              </w:rPr>
            </w:pPr>
            <w:r>
              <w:rPr>
                <w:rFonts w:cs="Arial"/>
                <w:szCs w:val="22"/>
              </w:rPr>
              <w:t>Peter Frawley</w:t>
            </w:r>
          </w:p>
          <w:p w14:paraId="22363CF7" w14:textId="77777777" w:rsidR="00FD4C6C" w:rsidRDefault="00FD4C6C" w:rsidP="00FD4C6C">
            <w:pPr>
              <w:spacing w:after="0" w:line="276" w:lineRule="auto"/>
              <w:ind w:left="284" w:hanging="284"/>
              <w:jc w:val="both"/>
              <w:rPr>
                <w:rFonts w:cs="Arial"/>
                <w:szCs w:val="22"/>
              </w:rPr>
            </w:pPr>
            <w:r>
              <w:rPr>
                <w:rFonts w:cs="Arial"/>
                <w:szCs w:val="22"/>
              </w:rPr>
              <w:t>Policy Manager</w:t>
            </w:r>
          </w:p>
          <w:p w14:paraId="15CD8A1A" w14:textId="77777777" w:rsidR="00FD4C6C" w:rsidRDefault="00FD4C6C" w:rsidP="00FD4C6C">
            <w:pPr>
              <w:spacing w:after="0" w:line="276" w:lineRule="auto"/>
              <w:ind w:left="284" w:hanging="284"/>
              <w:jc w:val="both"/>
              <w:rPr>
                <w:rFonts w:cs="Arial"/>
                <w:szCs w:val="22"/>
              </w:rPr>
            </w:pPr>
            <w:r>
              <w:rPr>
                <w:rFonts w:cs="Arial"/>
                <w:szCs w:val="22"/>
              </w:rPr>
              <w:t>Policy &amp; Strategy</w:t>
            </w:r>
          </w:p>
          <w:p w14:paraId="4732A233" w14:textId="77777777" w:rsidR="00FD4C6C" w:rsidRDefault="00FD4C6C" w:rsidP="00FD4C6C">
            <w:pPr>
              <w:spacing w:after="0" w:line="276" w:lineRule="auto"/>
              <w:ind w:left="284" w:hanging="284"/>
              <w:jc w:val="both"/>
              <w:rPr>
                <w:rFonts w:cs="Arial"/>
                <w:szCs w:val="22"/>
              </w:rPr>
            </w:pPr>
            <w:r>
              <w:rPr>
                <w:rFonts w:cs="Arial"/>
                <w:szCs w:val="22"/>
              </w:rPr>
              <w:t>Inland Revenue</w:t>
            </w:r>
          </w:p>
          <w:p w14:paraId="230EDAA6" w14:textId="77777777" w:rsidR="00FD4C6C" w:rsidRDefault="00FD4C6C" w:rsidP="00FD4C6C">
            <w:pPr>
              <w:spacing w:after="0" w:line="276" w:lineRule="auto"/>
              <w:ind w:left="284" w:hanging="284"/>
              <w:jc w:val="both"/>
              <w:rPr>
                <w:rFonts w:cs="Arial"/>
                <w:szCs w:val="22"/>
              </w:rPr>
            </w:pPr>
          </w:p>
          <w:p w14:paraId="2C3B4925" w14:textId="13320B86" w:rsidR="00FD4C6C" w:rsidRPr="009C4129" w:rsidRDefault="00A512E9" w:rsidP="0033213D">
            <w:pPr>
              <w:spacing w:after="0" w:line="276" w:lineRule="auto"/>
              <w:jc w:val="both"/>
              <w:rPr>
                <w:rFonts w:cs="Arial"/>
                <w:szCs w:val="22"/>
              </w:rPr>
            </w:pPr>
            <w:r w:rsidRPr="00A512E9">
              <w:rPr>
                <w:rFonts w:cs="Arial"/>
                <w:szCs w:val="22"/>
              </w:rPr>
              <w:t>1</w:t>
            </w:r>
            <w:r w:rsidR="00F03C46" w:rsidRPr="00A512E9">
              <w:rPr>
                <w:rFonts w:cs="Arial"/>
                <w:szCs w:val="22"/>
              </w:rPr>
              <w:t xml:space="preserve"> </w:t>
            </w:r>
            <w:r w:rsidR="0033213D" w:rsidRPr="00A512E9">
              <w:rPr>
                <w:rFonts w:cs="Arial"/>
                <w:szCs w:val="22"/>
              </w:rPr>
              <w:t xml:space="preserve">August </w:t>
            </w:r>
            <w:r w:rsidR="00FD4C6C" w:rsidRPr="00A512E9">
              <w:rPr>
                <w:rFonts w:cs="Arial"/>
                <w:szCs w:val="22"/>
              </w:rPr>
              <w:t>2018</w:t>
            </w:r>
          </w:p>
        </w:tc>
      </w:tr>
    </w:tbl>
    <w:p w14:paraId="1F08226E" w14:textId="77777777" w:rsidR="0062657E" w:rsidRPr="0005691A" w:rsidRDefault="0062657E" w:rsidP="00663BAA">
      <w:pPr>
        <w:spacing w:line="276" w:lineRule="auto"/>
        <w:rPr>
          <w:rFonts w:cs="Arial"/>
          <w:b/>
          <w:color w:val="0082AB"/>
          <w:spacing w:val="20"/>
          <w:w w:val="90"/>
          <w:sz w:val="32"/>
          <w:szCs w:val="24"/>
        </w:rPr>
      </w:pPr>
      <w:r w:rsidRPr="009C4129">
        <w:rPr>
          <w:rFonts w:cs="Arial"/>
          <w:szCs w:val="22"/>
        </w:rPr>
        <w:br w:type="page"/>
      </w:r>
      <w:r w:rsidRPr="0005691A">
        <w:rPr>
          <w:rFonts w:cs="Arial"/>
          <w:b/>
          <w:color w:val="0082AB"/>
          <w:spacing w:val="20"/>
          <w:w w:val="90"/>
          <w:sz w:val="32"/>
          <w:szCs w:val="24"/>
        </w:rPr>
        <w:lastRenderedPageBreak/>
        <w:t>Section 2:</w:t>
      </w:r>
      <w:bookmarkEnd w:id="1"/>
      <w:bookmarkEnd w:id="2"/>
      <w:bookmarkEnd w:id="3"/>
      <w:bookmarkEnd w:id="4"/>
      <w:bookmarkEnd w:id="5"/>
      <w:r w:rsidR="0005691A" w:rsidRPr="0005691A">
        <w:rPr>
          <w:rFonts w:cs="Arial"/>
          <w:b/>
          <w:color w:val="0082AB"/>
          <w:spacing w:val="20"/>
          <w:w w:val="90"/>
          <w:sz w:val="32"/>
          <w:szCs w:val="24"/>
        </w:rPr>
        <w:t xml:space="preserve"> </w:t>
      </w:r>
      <w:r w:rsidRPr="0005691A">
        <w:rPr>
          <w:rFonts w:cs="Arial"/>
          <w:b/>
          <w:color w:val="0082AB"/>
          <w:spacing w:val="20"/>
          <w:w w:val="90"/>
          <w:sz w:val="32"/>
          <w:szCs w:val="24"/>
        </w:rPr>
        <w:t>Problem definition and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086D457F" w14:textId="77777777" w:rsidTr="004A11FC">
        <w:trPr>
          <w:trHeight w:val="77"/>
        </w:trPr>
        <w:tc>
          <w:tcPr>
            <w:tcW w:w="5000" w:type="pct"/>
            <w:shd w:val="clear" w:color="auto" w:fill="99CDDD"/>
          </w:tcPr>
          <w:p w14:paraId="161D986D" w14:textId="77777777" w:rsidR="0062657E" w:rsidRPr="009C4129" w:rsidRDefault="0062657E" w:rsidP="00DF2E7B">
            <w:pPr>
              <w:spacing w:before="60" w:after="60" w:line="240" w:lineRule="auto"/>
              <w:rPr>
                <w:rFonts w:cs="Arial"/>
                <w:b/>
                <w:szCs w:val="22"/>
              </w:rPr>
            </w:pPr>
            <w:r w:rsidRPr="009C4129">
              <w:rPr>
                <w:rFonts w:cs="Arial"/>
                <w:b/>
                <w:szCs w:val="22"/>
              </w:rPr>
              <w:t>2.1      What is the context within which action is proposed?</w:t>
            </w:r>
          </w:p>
        </w:tc>
      </w:tr>
      <w:tr w:rsidR="009C4129" w:rsidRPr="009C4129" w14:paraId="519C20FC" w14:textId="77777777" w:rsidTr="00B43E60">
        <w:trPr>
          <w:trHeight w:val="459"/>
        </w:trPr>
        <w:tc>
          <w:tcPr>
            <w:tcW w:w="5000" w:type="pct"/>
            <w:shd w:val="clear" w:color="auto" w:fill="FFFFFF"/>
          </w:tcPr>
          <w:p w14:paraId="0998F7FE" w14:textId="5E4BA8A0" w:rsidR="008458C1" w:rsidRPr="00DA18DA" w:rsidRDefault="00235FAD" w:rsidP="00235FAD">
            <w:pPr>
              <w:pStyle w:val="TableText"/>
              <w:spacing w:before="240" w:after="240" w:line="276" w:lineRule="auto"/>
              <w:ind w:left="709" w:hanging="709"/>
              <w:rPr>
                <w:sz w:val="22"/>
              </w:rPr>
            </w:pPr>
            <w:r>
              <w:rPr>
                <w:sz w:val="22"/>
              </w:rPr>
              <w:t>2.1.1</w:t>
            </w:r>
            <w:r>
              <w:rPr>
                <w:sz w:val="22"/>
              </w:rPr>
              <w:tab/>
            </w:r>
            <w:r w:rsidR="008458C1" w:rsidRPr="00DA18DA">
              <w:rPr>
                <w:sz w:val="22"/>
              </w:rPr>
              <w:t xml:space="preserve">First home buyers account for 22% of home purchases in New Zealand, compared with 39% for multiple property owners.  </w:t>
            </w:r>
            <w:r w:rsidR="00C0786F">
              <w:rPr>
                <w:sz w:val="22"/>
              </w:rPr>
              <w:t xml:space="preserve">This </w:t>
            </w:r>
            <w:r w:rsidR="006943B3">
              <w:rPr>
                <w:sz w:val="22"/>
              </w:rPr>
              <w:t xml:space="preserve">may suggest </w:t>
            </w:r>
            <w:r w:rsidR="00C0786F">
              <w:rPr>
                <w:sz w:val="22"/>
              </w:rPr>
              <w:t>that f</w:t>
            </w:r>
            <w:r w:rsidR="00C0786F" w:rsidRPr="00DA18DA">
              <w:rPr>
                <w:sz w:val="22"/>
              </w:rPr>
              <w:t xml:space="preserve">irst home buyers can struggle to compete against investors and existing owner-occupiers in the market.  </w:t>
            </w:r>
            <w:r w:rsidR="008458C1" w:rsidRPr="00DA18DA">
              <w:rPr>
                <w:sz w:val="22"/>
              </w:rPr>
              <w:t xml:space="preserve">Home ownership rates have now fallen to </w:t>
            </w:r>
            <w:r w:rsidR="00177618" w:rsidRPr="00DA18DA">
              <w:rPr>
                <w:sz w:val="22"/>
              </w:rPr>
              <w:t>63% - down from 74% in 1991</w:t>
            </w:r>
            <w:r w:rsidR="008458C1" w:rsidRPr="00DA18DA">
              <w:rPr>
                <w:sz w:val="22"/>
              </w:rPr>
              <w:t>.</w:t>
            </w:r>
            <w:r w:rsidR="00177618">
              <w:rPr>
                <w:rStyle w:val="FootnoteReference"/>
              </w:rPr>
              <w:footnoteReference w:id="2"/>
            </w:r>
          </w:p>
          <w:p w14:paraId="4C6E7828" w14:textId="77777777" w:rsidR="008458C1" w:rsidRDefault="008458C1" w:rsidP="008458C1">
            <w:pPr>
              <w:spacing w:after="0" w:line="276" w:lineRule="auto"/>
            </w:pPr>
          </w:p>
          <w:p w14:paraId="450468CD" w14:textId="77777777" w:rsidR="008458C1" w:rsidRDefault="008458C1" w:rsidP="00966144">
            <w:pPr>
              <w:spacing w:after="0" w:line="276" w:lineRule="auto"/>
              <w:jc w:val="center"/>
              <w:rPr>
                <w:rFonts w:cs="Arial"/>
                <w:szCs w:val="22"/>
                <w:highlight w:val="green"/>
                <w:lang w:eastAsia="en-AU"/>
              </w:rPr>
            </w:pPr>
            <w:r>
              <w:rPr>
                <w:noProof/>
                <w:lang w:val="en-NZ" w:eastAsia="en-NZ"/>
              </w:rPr>
              <w:drawing>
                <wp:inline distT="0" distB="0" distL="0" distR="0" wp14:anchorId="13F3163D" wp14:editId="13BA2C5F">
                  <wp:extent cx="5438775" cy="29241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40936" cy="2925337"/>
                          </a:xfrm>
                          <a:prstGeom prst="rect">
                            <a:avLst/>
                          </a:prstGeom>
                        </pic:spPr>
                      </pic:pic>
                    </a:graphicData>
                  </a:graphic>
                </wp:inline>
              </w:drawing>
            </w:r>
          </w:p>
          <w:p w14:paraId="7D602381" w14:textId="2FACDD91" w:rsidR="008458C1" w:rsidRDefault="008458C1" w:rsidP="00DE0369">
            <w:pPr>
              <w:spacing w:after="0" w:line="276" w:lineRule="auto"/>
              <w:rPr>
                <w:rFonts w:cs="Arial"/>
                <w:sz w:val="18"/>
                <w:szCs w:val="18"/>
                <w:highlight w:val="green"/>
                <w:lang w:eastAsia="en-AU"/>
              </w:rPr>
            </w:pPr>
            <w:r w:rsidRPr="008458C1">
              <w:rPr>
                <w:sz w:val="18"/>
                <w:szCs w:val="18"/>
              </w:rPr>
              <w:t>Source: CoreLogic NZ</w:t>
            </w:r>
          </w:p>
          <w:p w14:paraId="15BCC505" w14:textId="77777777" w:rsidR="00DE0369" w:rsidRPr="00DE0369" w:rsidRDefault="00DE0369" w:rsidP="00DE0369">
            <w:pPr>
              <w:spacing w:after="0" w:line="276" w:lineRule="auto"/>
              <w:rPr>
                <w:rFonts w:cs="Arial"/>
                <w:sz w:val="18"/>
                <w:szCs w:val="18"/>
                <w:highlight w:val="green"/>
                <w:lang w:eastAsia="en-AU"/>
              </w:rPr>
            </w:pPr>
          </w:p>
          <w:p w14:paraId="6C3F00F9" w14:textId="49DFCA5D" w:rsidR="008458C1" w:rsidRPr="008458C1" w:rsidRDefault="008458C1" w:rsidP="00235FAD">
            <w:pPr>
              <w:pStyle w:val="TableText"/>
              <w:numPr>
                <w:ilvl w:val="2"/>
                <w:numId w:val="32"/>
              </w:numPr>
              <w:spacing w:before="240" w:after="240" w:line="276" w:lineRule="auto"/>
              <w:rPr>
                <w:sz w:val="22"/>
              </w:rPr>
            </w:pPr>
            <w:r w:rsidRPr="008458C1">
              <w:rPr>
                <w:sz w:val="22"/>
              </w:rPr>
              <w:t xml:space="preserve">Speculative capital gain is a likely driver for investor activity in the residential housing market. </w:t>
            </w:r>
            <w:r>
              <w:rPr>
                <w:sz w:val="22"/>
              </w:rPr>
              <w:t xml:space="preserve"> </w:t>
            </w:r>
            <w:r w:rsidRPr="008458C1">
              <w:rPr>
                <w:sz w:val="22"/>
              </w:rPr>
              <w:t>The average return on rental property</w:t>
            </w:r>
            <w:r w:rsidR="00966144">
              <w:rPr>
                <w:sz w:val="22"/>
              </w:rPr>
              <w:t xml:space="preserve"> ex</w:t>
            </w:r>
            <w:r w:rsidR="007E4821">
              <w:rPr>
                <w:sz w:val="22"/>
              </w:rPr>
              <w:t xml:space="preserve">cluding capital gains </w:t>
            </w:r>
            <w:r w:rsidRPr="008458C1">
              <w:rPr>
                <w:sz w:val="22"/>
              </w:rPr>
              <w:t xml:space="preserve">is low – the average </w:t>
            </w:r>
            <w:r>
              <w:rPr>
                <w:sz w:val="22"/>
              </w:rPr>
              <w:t xml:space="preserve">gross rental yield on a </w:t>
            </w:r>
            <w:r w:rsidRPr="008458C1">
              <w:rPr>
                <w:sz w:val="22"/>
              </w:rPr>
              <w:t>three-bedroom Auckland property is 3%</w:t>
            </w:r>
            <w:r w:rsidR="00934694">
              <w:rPr>
                <w:sz w:val="22"/>
              </w:rPr>
              <w:t xml:space="preserve"> per annum</w:t>
            </w:r>
            <w:r w:rsidRPr="008458C1">
              <w:rPr>
                <w:sz w:val="22"/>
              </w:rPr>
              <w:t>.</w:t>
            </w:r>
            <w:r w:rsidRPr="008458C1">
              <w:rPr>
                <w:rStyle w:val="FootnoteReference"/>
                <w:szCs w:val="16"/>
              </w:rPr>
              <w:footnoteReference w:id="3"/>
            </w:r>
            <w:r w:rsidRPr="008458C1">
              <w:rPr>
                <w:sz w:val="22"/>
              </w:rPr>
              <w:t xml:space="preserve"> </w:t>
            </w:r>
            <w:r>
              <w:rPr>
                <w:sz w:val="22"/>
              </w:rPr>
              <w:t xml:space="preserve"> </w:t>
            </w:r>
            <w:r w:rsidRPr="008458C1">
              <w:rPr>
                <w:sz w:val="22"/>
              </w:rPr>
              <w:t>This suggests investors are buying property in anticipation of capital gain.</w:t>
            </w:r>
            <w:r w:rsidR="00C0786F">
              <w:rPr>
                <w:sz w:val="22"/>
              </w:rPr>
              <w:t xml:space="preserve">  </w:t>
            </w:r>
            <w:r w:rsidR="00C0786F" w:rsidRPr="00966144">
              <w:rPr>
                <w:sz w:val="22"/>
              </w:rPr>
              <w:t>Other possible drivers for investor activity include the prospect of future increases in rents, or because it is perceived as safer than other types of investments.</w:t>
            </w:r>
            <w:r w:rsidR="00C0786F">
              <w:rPr>
                <w:sz w:val="22"/>
              </w:rPr>
              <w:t xml:space="preserve"> </w:t>
            </w:r>
          </w:p>
          <w:p w14:paraId="743A3B59" w14:textId="7D6DE5F5" w:rsidR="008458C1" w:rsidRPr="008458C1" w:rsidRDefault="008458C1" w:rsidP="00235FAD">
            <w:pPr>
              <w:pStyle w:val="TableText"/>
              <w:numPr>
                <w:ilvl w:val="2"/>
                <w:numId w:val="32"/>
              </w:numPr>
              <w:spacing w:before="240" w:after="240" w:line="276" w:lineRule="auto"/>
              <w:rPr>
                <w:sz w:val="22"/>
              </w:rPr>
            </w:pPr>
            <w:r w:rsidRPr="008458C1">
              <w:rPr>
                <w:sz w:val="22"/>
              </w:rPr>
              <w:t>Falling rates of home ownership, untaxed capital gains, and increasing house prices contribute to equity concerns around housing, and</w:t>
            </w:r>
            <w:r w:rsidR="00C0786F">
              <w:rPr>
                <w:sz w:val="22"/>
              </w:rPr>
              <w:t xml:space="preserve"> there is</w:t>
            </w:r>
            <w:r w:rsidRPr="008458C1">
              <w:rPr>
                <w:sz w:val="22"/>
              </w:rPr>
              <w:t xml:space="preserve"> strong interest in measures to improve housing affordability</w:t>
            </w:r>
            <w:r w:rsidR="00934694">
              <w:rPr>
                <w:sz w:val="22"/>
              </w:rPr>
              <w:t>,</w:t>
            </w:r>
            <w:r w:rsidRPr="008458C1">
              <w:rPr>
                <w:sz w:val="22"/>
              </w:rPr>
              <w:t xml:space="preserve"> </w:t>
            </w:r>
            <w:r w:rsidR="00934694" w:rsidRPr="008458C1">
              <w:rPr>
                <w:sz w:val="22"/>
              </w:rPr>
              <w:t xml:space="preserve">especially </w:t>
            </w:r>
            <w:r w:rsidRPr="008458C1">
              <w:rPr>
                <w:sz w:val="22"/>
              </w:rPr>
              <w:t>for first home buyers.</w:t>
            </w:r>
          </w:p>
          <w:p w14:paraId="039D8FE2" w14:textId="45F18A72" w:rsidR="00B43E60" w:rsidRPr="00B43E60" w:rsidRDefault="008458C1" w:rsidP="00235FAD">
            <w:pPr>
              <w:pStyle w:val="TableText"/>
              <w:numPr>
                <w:ilvl w:val="2"/>
                <w:numId w:val="32"/>
              </w:numPr>
              <w:spacing w:before="240" w:after="240" w:line="276" w:lineRule="auto"/>
              <w:rPr>
                <w:rFonts w:cs="Arial"/>
                <w:sz w:val="22"/>
              </w:rPr>
            </w:pPr>
            <w:r w:rsidRPr="008458C1">
              <w:rPr>
                <w:sz w:val="22"/>
              </w:rPr>
              <w:t xml:space="preserve">In this context, negative gearing has come under scrutiny. </w:t>
            </w:r>
            <w:r>
              <w:rPr>
                <w:sz w:val="22"/>
              </w:rPr>
              <w:t xml:space="preserve"> </w:t>
            </w:r>
            <w:r w:rsidRPr="008458C1">
              <w:rPr>
                <w:sz w:val="22"/>
              </w:rPr>
              <w:t xml:space="preserve">Negative gearing involves investors reducing their taxable income with rental losses. </w:t>
            </w:r>
            <w:r>
              <w:rPr>
                <w:sz w:val="22"/>
              </w:rPr>
              <w:t xml:space="preserve"> </w:t>
            </w:r>
            <w:r w:rsidRPr="008458C1">
              <w:rPr>
                <w:sz w:val="22"/>
              </w:rPr>
              <w:t xml:space="preserve">The practice is relatively widespread in the New Zealand rental market – 40% of taxpayers with residential investment property report rental losses, </w:t>
            </w:r>
            <w:r w:rsidRPr="00B43E60">
              <w:rPr>
                <w:rFonts w:cs="Arial"/>
                <w:sz w:val="22"/>
              </w:rPr>
              <w:t>with an average tax benefit of $2,000</w:t>
            </w:r>
            <w:r w:rsidR="007E4821" w:rsidRPr="00B43E60">
              <w:rPr>
                <w:rFonts w:cs="Arial"/>
                <w:sz w:val="22"/>
              </w:rPr>
              <w:t xml:space="preserve"> per annum</w:t>
            </w:r>
            <w:r w:rsidRPr="00B43E60">
              <w:rPr>
                <w:rFonts w:cs="Arial"/>
                <w:sz w:val="22"/>
              </w:rPr>
              <w:t>.</w:t>
            </w:r>
          </w:p>
          <w:p w14:paraId="64C7D912" w14:textId="422AA970" w:rsidR="00B43E60" w:rsidRDefault="00B43E60" w:rsidP="00235FAD">
            <w:pPr>
              <w:pStyle w:val="TableText"/>
              <w:numPr>
                <w:ilvl w:val="2"/>
                <w:numId w:val="32"/>
              </w:numPr>
              <w:spacing w:before="240" w:after="240" w:line="276" w:lineRule="auto"/>
              <w:rPr>
                <w:sz w:val="22"/>
              </w:rPr>
            </w:pPr>
            <w:r w:rsidRPr="00B43E60">
              <w:rPr>
                <w:rFonts w:cs="Arial"/>
                <w:sz w:val="22"/>
              </w:rPr>
              <w:lastRenderedPageBreak/>
              <w:t xml:space="preserve">We </w:t>
            </w:r>
            <w:r w:rsidRPr="00DA18DA">
              <w:rPr>
                <w:sz w:val="22"/>
              </w:rPr>
              <w:t>expect</w:t>
            </w:r>
            <w:r w:rsidRPr="00B43E60">
              <w:rPr>
                <w:rFonts w:cs="Arial"/>
                <w:sz w:val="22"/>
              </w:rPr>
              <w:t xml:space="preserve"> the practice of negative gearing of rental properties to continue </w:t>
            </w:r>
            <w:r w:rsidR="00F03C46">
              <w:rPr>
                <w:rFonts w:cs="Arial"/>
                <w:sz w:val="22"/>
              </w:rPr>
              <w:t>if no further action is taken</w:t>
            </w:r>
            <w:r w:rsidRPr="00B43E60">
              <w:rPr>
                <w:rFonts w:cs="Arial"/>
                <w:sz w:val="22"/>
              </w:rPr>
              <w:t xml:space="preserve">. </w:t>
            </w:r>
            <w:r>
              <w:rPr>
                <w:rFonts w:cs="Arial"/>
                <w:sz w:val="22"/>
              </w:rPr>
              <w:t xml:space="preserve"> </w:t>
            </w:r>
            <w:r w:rsidRPr="00B43E60">
              <w:rPr>
                <w:rFonts w:cs="Arial"/>
                <w:sz w:val="22"/>
              </w:rPr>
              <w:t>The magnitude of losses being claimed is likely to be dependent on changes in the housing market</w:t>
            </w:r>
            <w:r w:rsidR="00F03C46">
              <w:rPr>
                <w:rFonts w:cs="Arial"/>
                <w:sz w:val="22"/>
              </w:rPr>
              <w:t xml:space="preserve"> (f</w:t>
            </w:r>
            <w:r w:rsidR="00F03C46" w:rsidRPr="00B43E60">
              <w:rPr>
                <w:rFonts w:cs="Arial"/>
                <w:sz w:val="22"/>
              </w:rPr>
              <w:t>or example, increases in rent</w:t>
            </w:r>
            <w:r w:rsidR="00C0786F">
              <w:rPr>
                <w:rFonts w:cs="Arial"/>
                <w:sz w:val="22"/>
              </w:rPr>
              <w:t xml:space="preserve">s </w:t>
            </w:r>
            <w:r w:rsidR="00F03C46" w:rsidRPr="00B43E60">
              <w:rPr>
                <w:rFonts w:cs="Arial"/>
                <w:sz w:val="22"/>
              </w:rPr>
              <w:t>will tend to reduce rental losses</w:t>
            </w:r>
            <w:r w:rsidR="00F03C46">
              <w:rPr>
                <w:rFonts w:cs="Arial"/>
                <w:sz w:val="22"/>
              </w:rPr>
              <w:t>, all other things being equal), and interest rates</w:t>
            </w:r>
            <w:r w:rsidRPr="00B43E60">
              <w:rPr>
                <w:rFonts w:cs="Arial"/>
                <w:sz w:val="22"/>
              </w:rPr>
              <w:t>.</w:t>
            </w:r>
            <w:r w:rsidR="008458C1" w:rsidRPr="008458C1">
              <w:rPr>
                <w:sz w:val="22"/>
              </w:rPr>
              <w:t xml:space="preserve"> </w:t>
            </w:r>
            <w:r w:rsidR="008458C1">
              <w:rPr>
                <w:sz w:val="22"/>
              </w:rPr>
              <w:t xml:space="preserve"> </w:t>
            </w:r>
          </w:p>
          <w:p w14:paraId="531E6F2E" w14:textId="61DD441D" w:rsidR="00934694" w:rsidRPr="00B43E60" w:rsidRDefault="008458C1" w:rsidP="00235FAD">
            <w:pPr>
              <w:pStyle w:val="TableText"/>
              <w:numPr>
                <w:ilvl w:val="2"/>
                <w:numId w:val="32"/>
              </w:numPr>
              <w:spacing w:before="240" w:after="240" w:line="276" w:lineRule="auto"/>
              <w:rPr>
                <w:sz w:val="22"/>
              </w:rPr>
            </w:pPr>
            <w:r w:rsidRPr="008458C1">
              <w:rPr>
                <w:sz w:val="22"/>
              </w:rPr>
              <w:t>Many overseas countries have some form of loss ring-fencing of residential property, including the U</w:t>
            </w:r>
            <w:r w:rsidR="00934694">
              <w:rPr>
                <w:sz w:val="22"/>
              </w:rPr>
              <w:t xml:space="preserve">nited </w:t>
            </w:r>
            <w:r w:rsidRPr="008458C1">
              <w:rPr>
                <w:sz w:val="22"/>
              </w:rPr>
              <w:t>K</w:t>
            </w:r>
            <w:r w:rsidR="00934694">
              <w:rPr>
                <w:sz w:val="22"/>
              </w:rPr>
              <w:t>ingdom</w:t>
            </w:r>
            <w:r w:rsidRPr="008458C1">
              <w:rPr>
                <w:sz w:val="22"/>
              </w:rPr>
              <w:t xml:space="preserve"> and the U</w:t>
            </w:r>
            <w:r w:rsidR="00934694">
              <w:rPr>
                <w:sz w:val="22"/>
              </w:rPr>
              <w:t xml:space="preserve">nited </w:t>
            </w:r>
            <w:r w:rsidRPr="008458C1">
              <w:rPr>
                <w:sz w:val="22"/>
              </w:rPr>
              <w:t>S</w:t>
            </w:r>
            <w:r w:rsidR="00934694">
              <w:rPr>
                <w:sz w:val="22"/>
              </w:rPr>
              <w:t>tates</w:t>
            </w:r>
            <w:r w:rsidRPr="008458C1">
              <w:rPr>
                <w:sz w:val="22"/>
              </w:rPr>
              <w:t>.</w:t>
            </w:r>
          </w:p>
        </w:tc>
      </w:tr>
    </w:tbl>
    <w:p w14:paraId="6DAA4540" w14:textId="77777777" w:rsidR="0062657E" w:rsidRPr="009C4129" w:rsidRDefault="0062657E" w:rsidP="007B090A">
      <w:pPr>
        <w:pStyle w:val="spacer"/>
        <w:spacing w:line="276" w:lineRule="auto"/>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168F4534" w14:textId="77777777" w:rsidTr="0002425B">
        <w:tc>
          <w:tcPr>
            <w:tcW w:w="9286" w:type="dxa"/>
            <w:shd w:val="clear" w:color="auto" w:fill="99CDDD"/>
          </w:tcPr>
          <w:p w14:paraId="382FA30F" w14:textId="24D8AC4E" w:rsidR="0062657E" w:rsidRPr="00384E9B" w:rsidRDefault="0062657E" w:rsidP="00235FAD">
            <w:pPr>
              <w:pStyle w:val="Heading5"/>
              <w:numPr>
                <w:ilvl w:val="1"/>
                <w:numId w:val="32"/>
              </w:numPr>
              <w:spacing w:before="60" w:after="60" w:line="240" w:lineRule="atLeast"/>
              <w:jc w:val="both"/>
              <w:rPr>
                <w:rFonts w:eastAsia="Calibri" w:cs="Arial"/>
                <w:b/>
                <w:color w:val="auto"/>
              </w:rPr>
            </w:pPr>
            <w:r w:rsidRPr="00384E9B">
              <w:rPr>
                <w:rFonts w:cs="Arial"/>
                <w:b/>
                <w:color w:val="auto"/>
              </w:rPr>
              <w:t xml:space="preserve">     What regulatory system, or systems, are already in place?</w:t>
            </w:r>
          </w:p>
        </w:tc>
      </w:tr>
      <w:tr w:rsidR="009C4129" w:rsidRPr="009C4129" w14:paraId="12BB6770" w14:textId="77777777" w:rsidTr="004736C7">
        <w:trPr>
          <w:trHeight w:val="2774"/>
        </w:trPr>
        <w:tc>
          <w:tcPr>
            <w:tcW w:w="9286" w:type="dxa"/>
            <w:shd w:val="clear" w:color="auto" w:fill="FFFFFF"/>
          </w:tcPr>
          <w:p w14:paraId="6E6E52CA" w14:textId="49E932F5" w:rsidR="0062657E" w:rsidRDefault="00235FAD" w:rsidP="00235FAD">
            <w:pPr>
              <w:pStyle w:val="TableText"/>
              <w:spacing w:before="240" w:after="240" w:line="276" w:lineRule="auto"/>
              <w:ind w:left="709" w:hanging="709"/>
              <w:rPr>
                <w:rFonts w:cs="Arial"/>
                <w:sz w:val="22"/>
              </w:rPr>
            </w:pPr>
            <w:r>
              <w:rPr>
                <w:sz w:val="22"/>
              </w:rPr>
              <w:t>2.2.1</w:t>
            </w:r>
            <w:r>
              <w:rPr>
                <w:sz w:val="22"/>
              </w:rPr>
              <w:tab/>
            </w:r>
            <w:r w:rsidR="008458C1" w:rsidRPr="00DA18DA">
              <w:rPr>
                <w:sz w:val="22"/>
              </w:rPr>
              <w:t>Investment</w:t>
            </w:r>
            <w:r w:rsidR="008458C1" w:rsidRPr="00DE0369">
              <w:rPr>
                <w:rFonts w:cs="Arial"/>
                <w:sz w:val="22"/>
              </w:rPr>
              <w:t xml:space="preserve"> </w:t>
            </w:r>
            <w:r w:rsidR="008458C1" w:rsidRPr="00DE0369">
              <w:rPr>
                <w:sz w:val="22"/>
              </w:rPr>
              <w:t>housing</w:t>
            </w:r>
            <w:r w:rsidR="008458C1" w:rsidRPr="00DE0369">
              <w:rPr>
                <w:rFonts w:cs="Arial"/>
                <w:sz w:val="22"/>
              </w:rPr>
              <w:t xml:space="preserve"> is currently taxed under the same rules that generally apply to other investments.  This means that rents are income, and interest and other expenses (other than capital improvements) are deductible.  Any capital gain realised on sale of the property is not taxed unless the property is held on revenue account.  Revenue account land holders are predominantly dealers, developers, and people who acquire </w:t>
            </w:r>
            <w:r w:rsidR="00966144">
              <w:rPr>
                <w:rFonts w:cs="Arial"/>
                <w:sz w:val="22"/>
              </w:rPr>
              <w:t>properties</w:t>
            </w:r>
            <w:r w:rsidR="008458C1" w:rsidRPr="00DE0369">
              <w:rPr>
                <w:rFonts w:cs="Arial"/>
                <w:sz w:val="22"/>
              </w:rPr>
              <w:t xml:space="preserve"> for resale (though there are a number of other rules that may mean </w:t>
            </w:r>
            <w:r w:rsidR="00966144">
              <w:rPr>
                <w:rFonts w:cs="Arial"/>
                <w:sz w:val="22"/>
              </w:rPr>
              <w:t>a property</w:t>
            </w:r>
            <w:r w:rsidR="008458C1" w:rsidRPr="00DE0369">
              <w:rPr>
                <w:rFonts w:cs="Arial"/>
                <w:sz w:val="22"/>
              </w:rPr>
              <w:t xml:space="preserve"> is on revenue account</w:t>
            </w:r>
            <w:r w:rsidR="00934694">
              <w:rPr>
                <w:rFonts w:cs="Arial"/>
                <w:sz w:val="22"/>
              </w:rPr>
              <w:t>, including the bright-line test</w:t>
            </w:r>
            <w:r w:rsidR="00B43E60">
              <w:rPr>
                <w:rFonts w:cs="Arial"/>
                <w:sz w:val="22"/>
              </w:rPr>
              <w:t xml:space="preserve">, which taxes sales of residential </w:t>
            </w:r>
            <w:r w:rsidR="00966144">
              <w:rPr>
                <w:rFonts w:cs="Arial"/>
                <w:sz w:val="22"/>
              </w:rPr>
              <w:t>properties</w:t>
            </w:r>
            <w:r w:rsidR="00B43E60">
              <w:rPr>
                <w:rFonts w:cs="Arial"/>
                <w:sz w:val="22"/>
              </w:rPr>
              <w:t xml:space="preserve"> within a defined time period</w:t>
            </w:r>
            <w:r w:rsidR="008458C1" w:rsidRPr="00DE0369">
              <w:rPr>
                <w:rFonts w:cs="Arial"/>
                <w:sz w:val="22"/>
              </w:rPr>
              <w:t>).  Most rental property investors hold their property on capital account and are not subj</w:t>
            </w:r>
            <w:r w:rsidR="004736C7">
              <w:rPr>
                <w:rFonts w:cs="Arial"/>
                <w:sz w:val="22"/>
              </w:rPr>
              <w:t>ect to tax on the capital gain.</w:t>
            </w:r>
          </w:p>
          <w:p w14:paraId="3F755144" w14:textId="0B3CA6D0" w:rsidR="00F03C46" w:rsidRPr="004736C7" w:rsidRDefault="00F03C46" w:rsidP="00235FAD">
            <w:pPr>
              <w:pStyle w:val="TableText"/>
              <w:numPr>
                <w:ilvl w:val="2"/>
                <w:numId w:val="32"/>
              </w:numPr>
              <w:spacing w:before="240" w:after="240" w:line="276" w:lineRule="auto"/>
              <w:rPr>
                <w:rFonts w:cs="Arial"/>
                <w:sz w:val="22"/>
              </w:rPr>
            </w:pPr>
            <w:r>
              <w:rPr>
                <w:rFonts w:cs="Arial"/>
                <w:sz w:val="22"/>
              </w:rPr>
              <w:t>Currently, investors</w:t>
            </w:r>
            <w:r w:rsidR="00421D7F">
              <w:rPr>
                <w:rFonts w:cs="Arial"/>
                <w:sz w:val="22"/>
              </w:rPr>
              <w:t xml:space="preserve"> (including those who hold their property on capital account and are not subject to tax on the capital gain)</w:t>
            </w:r>
            <w:r>
              <w:rPr>
                <w:rFonts w:cs="Arial"/>
                <w:sz w:val="22"/>
              </w:rPr>
              <w:t xml:space="preserve"> can use losses from the rental properties to offset their income from other sources, thus reducing their income tax liability.</w:t>
            </w:r>
          </w:p>
        </w:tc>
      </w:tr>
    </w:tbl>
    <w:p w14:paraId="3A7BDCF9" w14:textId="77777777"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6FB4CDB8" w14:textId="77777777" w:rsidTr="004A11FC">
        <w:trPr>
          <w:trHeight w:val="77"/>
        </w:trPr>
        <w:tc>
          <w:tcPr>
            <w:tcW w:w="5000" w:type="pct"/>
            <w:shd w:val="clear" w:color="auto" w:fill="99CDDD"/>
            <w:hideMark/>
          </w:tcPr>
          <w:p w14:paraId="3CD91985" w14:textId="77777777" w:rsidR="0062657E" w:rsidRPr="009C4129" w:rsidRDefault="0062657E" w:rsidP="00DF2E7B">
            <w:pPr>
              <w:pStyle w:val="Heading5"/>
              <w:spacing w:before="60" w:after="60" w:line="240" w:lineRule="auto"/>
              <w:jc w:val="both"/>
              <w:rPr>
                <w:rFonts w:cs="Arial"/>
                <w:b/>
                <w:color w:val="auto"/>
              </w:rPr>
            </w:pPr>
            <w:r w:rsidRPr="009C4129">
              <w:rPr>
                <w:rFonts w:cs="Arial"/>
                <w:b/>
                <w:color w:val="auto"/>
              </w:rPr>
              <w:t xml:space="preserve">2.3     What is the policy problem or opportunity? </w:t>
            </w:r>
          </w:p>
        </w:tc>
      </w:tr>
      <w:tr w:rsidR="009C4129" w:rsidRPr="009C4129" w14:paraId="382D58FA" w14:textId="77777777" w:rsidTr="004736C7">
        <w:trPr>
          <w:trHeight w:val="60"/>
        </w:trPr>
        <w:tc>
          <w:tcPr>
            <w:tcW w:w="5000" w:type="pct"/>
            <w:shd w:val="clear" w:color="auto" w:fill="FFFFFF"/>
          </w:tcPr>
          <w:p w14:paraId="46113C92" w14:textId="6469D7FE" w:rsidR="00FA0895" w:rsidRDefault="00FA0895" w:rsidP="00912752">
            <w:pPr>
              <w:pStyle w:val="TableText"/>
              <w:numPr>
                <w:ilvl w:val="0"/>
                <w:numId w:val="21"/>
              </w:numPr>
              <w:spacing w:before="240" w:after="240" w:line="276" w:lineRule="auto"/>
              <w:ind w:left="709" w:hanging="709"/>
              <w:rPr>
                <w:rFonts w:cs="Arial"/>
                <w:sz w:val="22"/>
              </w:rPr>
            </w:pPr>
            <w:r w:rsidRPr="0002425B">
              <w:rPr>
                <w:sz w:val="22"/>
              </w:rPr>
              <w:t xml:space="preserve">The </w:t>
            </w:r>
            <w:r w:rsidR="00F03C46">
              <w:rPr>
                <w:sz w:val="22"/>
              </w:rPr>
              <w:t>policy problem</w:t>
            </w:r>
            <w:r w:rsidRPr="0002425B">
              <w:rPr>
                <w:sz w:val="22"/>
              </w:rPr>
              <w:t xml:space="preserve"> is </w:t>
            </w:r>
            <w:r>
              <w:rPr>
                <w:sz w:val="22"/>
              </w:rPr>
              <w:t>that there is an uneven</w:t>
            </w:r>
            <w:r w:rsidRPr="0002425B">
              <w:rPr>
                <w:sz w:val="22"/>
              </w:rPr>
              <w:t xml:space="preserve"> playing field between property investors </w:t>
            </w:r>
            <w:r w:rsidR="00421D7F">
              <w:rPr>
                <w:sz w:val="22"/>
              </w:rPr>
              <w:t>who</w:t>
            </w:r>
            <w:r w:rsidR="00421D7F" w:rsidRPr="008458C1">
              <w:rPr>
                <w:sz w:val="22"/>
              </w:rPr>
              <w:t xml:space="preserve"> are buying property in anticipation of capital gain</w:t>
            </w:r>
            <w:r w:rsidR="00421D7F">
              <w:rPr>
                <w:sz w:val="22"/>
              </w:rPr>
              <w:t xml:space="preserve">, </w:t>
            </w:r>
            <w:r w:rsidRPr="0002425B">
              <w:rPr>
                <w:sz w:val="22"/>
              </w:rPr>
              <w:t xml:space="preserve">and owner-occupiers.  Currently, investors can have part of the cost of servicing their mortgages subsidised by the reduced tax on other sources of income, helping them to outbid owner-occupiers </w:t>
            </w:r>
            <w:r w:rsidR="00966144">
              <w:rPr>
                <w:sz w:val="22"/>
              </w:rPr>
              <w:t xml:space="preserve">(whose mortgages are not tax-deductible) </w:t>
            </w:r>
            <w:r w:rsidRPr="0002425B">
              <w:rPr>
                <w:sz w:val="22"/>
              </w:rPr>
              <w:t>for properties.</w:t>
            </w:r>
          </w:p>
          <w:p w14:paraId="08978747" w14:textId="57D18E67" w:rsidR="0062657E" w:rsidRPr="00F03C46" w:rsidRDefault="00A37F39" w:rsidP="00912752">
            <w:pPr>
              <w:pStyle w:val="TableText"/>
              <w:numPr>
                <w:ilvl w:val="0"/>
                <w:numId w:val="21"/>
              </w:numPr>
              <w:spacing w:before="240" w:after="240" w:line="276" w:lineRule="auto"/>
              <w:ind w:left="709" w:hanging="709"/>
              <w:rPr>
                <w:sz w:val="22"/>
              </w:rPr>
            </w:pPr>
            <w:r w:rsidRPr="00C12650">
              <w:rPr>
                <w:sz w:val="22"/>
              </w:rPr>
              <w:t>Rental</w:t>
            </w:r>
            <w:r w:rsidRPr="00DE0369">
              <w:rPr>
                <w:rFonts w:cs="Arial"/>
                <w:sz w:val="22"/>
              </w:rPr>
              <w:t xml:space="preserve"> </w:t>
            </w:r>
            <w:r w:rsidRPr="00DE0369">
              <w:rPr>
                <w:sz w:val="22"/>
              </w:rPr>
              <w:t>housing</w:t>
            </w:r>
            <w:r w:rsidRPr="00DE0369">
              <w:rPr>
                <w:rFonts w:cs="Arial"/>
                <w:sz w:val="22"/>
              </w:rPr>
              <w:t xml:space="preserve"> is not formally tax favoured.  However, there is an argument that it may be under-taxed </w:t>
            </w:r>
            <w:r w:rsidR="00B27E59">
              <w:rPr>
                <w:rFonts w:cs="Arial"/>
                <w:sz w:val="22"/>
              </w:rPr>
              <w:t xml:space="preserve">compared to other asset classes </w:t>
            </w:r>
            <w:r w:rsidRPr="00DE0369">
              <w:rPr>
                <w:rFonts w:cs="Arial"/>
                <w:sz w:val="22"/>
              </w:rPr>
              <w:t xml:space="preserve">given that tax-free capital gains are often realised when rental properties are sold.  The fact that rental property investors often make persistent tax losses is a possible indication that expected capital gains are an important motivation for many investors purchasing rental property.  While interest and other expenses are fully deductible, in the absence of a comprehensive capital gains tax, not all of the economic income generated from rental housing is subject to tax.  There is therefore an argument that, to the extent deductible expenses in the long-term exceed income from rents, those expenses in fact relate to the capital gain, so should not be deductible unless the capital gain is taxed.  </w:t>
            </w:r>
            <w:r w:rsidR="00FA0895">
              <w:rPr>
                <w:sz w:val="22"/>
              </w:rPr>
              <w:t>I</w:t>
            </w:r>
            <w:r w:rsidR="00FA0895" w:rsidRPr="0002425B">
              <w:rPr>
                <w:sz w:val="22"/>
              </w:rPr>
              <w:t xml:space="preserve">t is reasonable to suppose that there is a </w:t>
            </w:r>
            <w:r w:rsidR="00FA0895">
              <w:rPr>
                <w:sz w:val="22"/>
              </w:rPr>
              <w:t xml:space="preserve">widespread </w:t>
            </w:r>
            <w:r w:rsidR="00FA0895" w:rsidRPr="0002425B">
              <w:rPr>
                <w:sz w:val="22"/>
              </w:rPr>
              <w:t>perception of unfairness, especially in the context of falling rates of home ownership, untaxed capital gains, and increasing house prices</w:t>
            </w:r>
            <w:r w:rsidR="00FA0895">
              <w:rPr>
                <w:sz w:val="22"/>
              </w:rPr>
              <w:t xml:space="preserve"> (see above in section 2.1)</w:t>
            </w:r>
            <w:r w:rsidR="00FA0895" w:rsidRPr="0002425B">
              <w:rPr>
                <w:sz w:val="22"/>
              </w:rPr>
              <w:t>.</w:t>
            </w:r>
          </w:p>
        </w:tc>
      </w:tr>
    </w:tbl>
    <w:p w14:paraId="3EBB52C6" w14:textId="77777777"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05BE35CF" w14:textId="77777777" w:rsidTr="004A11FC">
        <w:trPr>
          <w:trHeight w:val="77"/>
        </w:trPr>
        <w:tc>
          <w:tcPr>
            <w:tcW w:w="5000" w:type="pct"/>
            <w:shd w:val="clear" w:color="auto" w:fill="99CDDD"/>
          </w:tcPr>
          <w:p w14:paraId="33635B9C" w14:textId="77777777" w:rsidR="0062657E" w:rsidRPr="009C4129" w:rsidRDefault="0062657E" w:rsidP="004A11FC">
            <w:pPr>
              <w:keepNext/>
              <w:spacing w:before="60" w:after="60" w:line="240" w:lineRule="atLeast"/>
              <w:rPr>
                <w:rFonts w:cs="Arial"/>
                <w:b/>
                <w:szCs w:val="22"/>
              </w:rPr>
            </w:pPr>
            <w:r w:rsidRPr="009C4129">
              <w:rPr>
                <w:rFonts w:cs="Arial"/>
                <w:b/>
                <w:szCs w:val="22"/>
              </w:rPr>
              <w:lastRenderedPageBreak/>
              <w:t xml:space="preserve">2.4   Are there any constraints on the scope for decision making? </w:t>
            </w:r>
          </w:p>
        </w:tc>
      </w:tr>
      <w:tr w:rsidR="009C4129" w:rsidRPr="009C4129" w14:paraId="17922072" w14:textId="77777777" w:rsidTr="00EB0D54">
        <w:trPr>
          <w:trHeight w:val="1963"/>
        </w:trPr>
        <w:tc>
          <w:tcPr>
            <w:tcW w:w="5000" w:type="pct"/>
            <w:shd w:val="clear" w:color="auto" w:fill="FFFFFF"/>
          </w:tcPr>
          <w:p w14:paraId="2EA27287" w14:textId="6A3D0B17" w:rsidR="00EB0D54" w:rsidRPr="0002425B" w:rsidRDefault="00A37F39" w:rsidP="00EB6AD8">
            <w:pPr>
              <w:pStyle w:val="TableText"/>
              <w:numPr>
                <w:ilvl w:val="0"/>
                <w:numId w:val="22"/>
              </w:numPr>
              <w:spacing w:before="240" w:after="240" w:line="276" w:lineRule="auto"/>
              <w:ind w:left="709" w:hanging="709"/>
              <w:rPr>
                <w:sz w:val="22"/>
              </w:rPr>
            </w:pPr>
            <w:r>
              <w:rPr>
                <w:rFonts w:cs="Arial"/>
                <w:sz w:val="22"/>
              </w:rPr>
              <w:t>T</w:t>
            </w:r>
            <w:r w:rsidR="00EB0D54" w:rsidRPr="0002425B">
              <w:rPr>
                <w:rFonts w:cs="Arial"/>
                <w:sz w:val="22"/>
              </w:rPr>
              <w:t xml:space="preserve">he </w:t>
            </w:r>
            <w:r w:rsidR="00EB0D54" w:rsidRPr="0002425B">
              <w:rPr>
                <w:sz w:val="22"/>
              </w:rPr>
              <w:t xml:space="preserve">Government has committed to </w:t>
            </w:r>
            <w:r w:rsidR="00EB0D54" w:rsidRPr="0002425B">
              <w:rPr>
                <w:rFonts w:cs="Arial"/>
                <w:sz w:val="22"/>
              </w:rPr>
              <w:t>implementing loss ring-fenci</w:t>
            </w:r>
            <w:r w:rsidR="00EB0D54" w:rsidRPr="00E6631F">
              <w:rPr>
                <w:rFonts w:cs="Arial"/>
                <w:sz w:val="22"/>
              </w:rPr>
              <w:t>ng.</w:t>
            </w:r>
            <w:r>
              <w:rPr>
                <w:rFonts w:cs="Arial"/>
                <w:sz w:val="22"/>
              </w:rPr>
              <w:t xml:space="preserve"> </w:t>
            </w:r>
            <w:r w:rsidR="00B6506E">
              <w:rPr>
                <w:rFonts w:cs="Arial"/>
                <w:sz w:val="22"/>
              </w:rPr>
              <w:t xml:space="preserve"> </w:t>
            </w:r>
            <w:r w:rsidR="00E6631F" w:rsidRPr="00E6631F">
              <w:rPr>
                <w:rFonts w:cs="Arial"/>
                <w:sz w:val="22"/>
              </w:rPr>
              <w:t xml:space="preserve">Officials have therefore </w:t>
            </w:r>
            <w:r>
              <w:rPr>
                <w:rFonts w:cs="Arial"/>
                <w:sz w:val="22"/>
              </w:rPr>
              <w:t>only considered</w:t>
            </w:r>
            <w:r w:rsidR="00E6631F" w:rsidRPr="00E6631F">
              <w:rPr>
                <w:rFonts w:cs="Arial"/>
                <w:sz w:val="22"/>
              </w:rPr>
              <w:t xml:space="preserve"> options </w:t>
            </w:r>
            <w:r>
              <w:rPr>
                <w:rFonts w:cs="Arial"/>
                <w:sz w:val="22"/>
              </w:rPr>
              <w:t>as to</w:t>
            </w:r>
            <w:r w:rsidR="00E6631F" w:rsidRPr="00E6631F">
              <w:rPr>
                <w:rFonts w:cs="Arial"/>
                <w:sz w:val="22"/>
              </w:rPr>
              <w:t xml:space="preserve"> different broad approaches to ring-fencing</w:t>
            </w:r>
            <w:r>
              <w:rPr>
                <w:rFonts w:cs="Arial"/>
                <w:sz w:val="22"/>
              </w:rPr>
              <w:t>, and have not considered alternative</w:t>
            </w:r>
            <w:r w:rsidR="006C42CD">
              <w:rPr>
                <w:rFonts w:cs="Arial"/>
                <w:sz w:val="22"/>
              </w:rPr>
              <w:t>s</w:t>
            </w:r>
            <w:r>
              <w:rPr>
                <w:rFonts w:cs="Arial"/>
                <w:sz w:val="22"/>
              </w:rPr>
              <w:t xml:space="preserve"> to loss ring-fencing</w:t>
            </w:r>
            <w:r w:rsidR="00E6631F" w:rsidRPr="00E6631F">
              <w:rPr>
                <w:rFonts w:cs="Arial"/>
                <w:sz w:val="22"/>
              </w:rPr>
              <w:t>.</w:t>
            </w:r>
          </w:p>
          <w:p w14:paraId="0B94E9CA" w14:textId="44CA856A" w:rsidR="0062657E" w:rsidRDefault="00E6631F" w:rsidP="00EB6AD8">
            <w:pPr>
              <w:pStyle w:val="TableText"/>
              <w:numPr>
                <w:ilvl w:val="0"/>
                <w:numId w:val="22"/>
              </w:numPr>
              <w:spacing w:before="240" w:after="240" w:line="276" w:lineRule="auto"/>
              <w:ind w:left="709" w:hanging="709"/>
              <w:rPr>
                <w:rFonts w:cs="Arial"/>
                <w:sz w:val="22"/>
              </w:rPr>
            </w:pPr>
            <w:r w:rsidRPr="00E6631F">
              <w:rPr>
                <w:sz w:val="22"/>
              </w:rPr>
              <w:t xml:space="preserve">The </w:t>
            </w:r>
            <w:r w:rsidRPr="00C12650">
              <w:rPr>
                <w:rFonts w:cs="Arial"/>
                <w:sz w:val="22"/>
              </w:rPr>
              <w:t>Government</w:t>
            </w:r>
            <w:r w:rsidRPr="00E6631F">
              <w:rPr>
                <w:sz w:val="22"/>
              </w:rPr>
              <w:t xml:space="preserve"> has also established the Tax Working Group (the TWG) to look at the structure, fairness and balance of the tax system.  </w:t>
            </w:r>
            <w:r w:rsidRPr="00E6631F">
              <w:rPr>
                <w:rFonts w:cs="Arial"/>
                <w:sz w:val="22"/>
              </w:rPr>
              <w:t>The TWG’s Terms</w:t>
            </w:r>
            <w:r w:rsidRPr="00E6631F">
              <w:rPr>
                <w:sz w:val="22"/>
              </w:rPr>
              <w:t xml:space="preserve"> of </w:t>
            </w:r>
            <w:r w:rsidRPr="00E6631F">
              <w:rPr>
                <w:rFonts w:cs="Arial"/>
                <w:sz w:val="22"/>
              </w:rPr>
              <w:t xml:space="preserve">Reference include </w:t>
            </w:r>
            <w:r w:rsidRPr="00E6631F">
              <w:rPr>
                <w:sz w:val="22"/>
              </w:rPr>
              <w:t xml:space="preserve">a </w:t>
            </w:r>
            <w:r w:rsidRPr="00E6631F">
              <w:rPr>
                <w:rFonts w:cs="Arial"/>
                <w:sz w:val="22"/>
              </w:rPr>
              <w:t xml:space="preserve">requirement that particular consideration be given to “[w]hether a system of taxing </w:t>
            </w:r>
            <w:r w:rsidRPr="00E6631F">
              <w:rPr>
                <w:sz w:val="22"/>
              </w:rPr>
              <w:t xml:space="preserve">capital gains </w:t>
            </w:r>
            <w:r w:rsidRPr="00E6631F">
              <w:rPr>
                <w:rFonts w:cs="Arial"/>
                <w:sz w:val="22"/>
              </w:rPr>
              <w:t>or land (not applying to</w:t>
            </w:r>
            <w:r w:rsidRPr="00E6631F">
              <w:rPr>
                <w:sz w:val="22"/>
              </w:rPr>
              <w:t xml:space="preserve"> the </w:t>
            </w:r>
            <w:r w:rsidRPr="00E6631F">
              <w:rPr>
                <w:rFonts w:cs="Arial"/>
                <w:sz w:val="22"/>
              </w:rPr>
              <w:t xml:space="preserve">family home or </w:t>
            </w:r>
            <w:r w:rsidRPr="00E6631F">
              <w:rPr>
                <w:sz w:val="22"/>
              </w:rPr>
              <w:t xml:space="preserve">the </w:t>
            </w:r>
            <w:r w:rsidRPr="00E6631F">
              <w:rPr>
                <w:rFonts w:cs="Arial"/>
                <w:sz w:val="22"/>
              </w:rPr>
              <w:t>land under it), or other</w:t>
            </w:r>
            <w:r w:rsidRPr="00E6631F">
              <w:rPr>
                <w:sz w:val="22"/>
              </w:rPr>
              <w:t xml:space="preserve"> housing </w:t>
            </w:r>
            <w:r w:rsidRPr="00E6631F">
              <w:rPr>
                <w:rFonts w:cs="Arial"/>
                <w:sz w:val="22"/>
              </w:rPr>
              <w:t xml:space="preserve">tax measures, would improve the </w:t>
            </w:r>
            <w:r w:rsidRPr="00E6631F">
              <w:rPr>
                <w:sz w:val="22"/>
              </w:rPr>
              <w:t>tax</w:t>
            </w:r>
            <w:r w:rsidRPr="00E6631F">
              <w:rPr>
                <w:rFonts w:cs="Arial"/>
                <w:sz w:val="22"/>
              </w:rPr>
              <w:t xml:space="preserve"> system.”</w:t>
            </w:r>
            <w:r w:rsidRPr="000C4E26">
              <w:rPr>
                <w:rStyle w:val="FootnoteReference"/>
                <w:rFonts w:cs="Arial"/>
                <w:szCs w:val="16"/>
              </w:rPr>
              <w:footnoteReference w:id="4"/>
            </w:r>
            <w:r w:rsidRPr="00E6631F">
              <w:rPr>
                <w:rFonts w:cs="Arial"/>
                <w:sz w:val="22"/>
              </w:rPr>
              <w:t xml:space="preserve">  Because consideration of a capital gains tax is within the purview of the TWG, it is not considered here as a possible option for addressing the issue that underlies the concern about investors</w:t>
            </w:r>
            <w:r w:rsidR="00421D7F">
              <w:rPr>
                <w:rFonts w:cs="Arial"/>
                <w:sz w:val="22"/>
              </w:rPr>
              <w:t xml:space="preserve"> </w:t>
            </w:r>
            <w:r w:rsidR="00421D7F">
              <w:rPr>
                <w:sz w:val="22"/>
              </w:rPr>
              <w:t>who buy</w:t>
            </w:r>
            <w:r w:rsidR="00421D7F" w:rsidRPr="008458C1">
              <w:rPr>
                <w:sz w:val="22"/>
              </w:rPr>
              <w:t xml:space="preserve"> property in anticipation of capital gain</w:t>
            </w:r>
            <w:r w:rsidRPr="00E6631F">
              <w:rPr>
                <w:rFonts w:cs="Arial"/>
                <w:sz w:val="22"/>
              </w:rPr>
              <w:t xml:space="preserve"> having an unfair advantage over owner-occupiers – which is that not all of the economic income generated from rental housing is subject to tax.  </w:t>
            </w:r>
            <w:r w:rsidR="00966144">
              <w:rPr>
                <w:rFonts w:cs="Arial"/>
                <w:sz w:val="22"/>
              </w:rPr>
              <w:t xml:space="preserve">If </w:t>
            </w:r>
            <w:r w:rsidRPr="00E6631F">
              <w:rPr>
                <w:sz w:val="22"/>
              </w:rPr>
              <w:t xml:space="preserve">a comprehensive capital gains tax were </w:t>
            </w:r>
            <w:r w:rsidRPr="00E6631F">
              <w:rPr>
                <w:rFonts w:cs="Arial"/>
                <w:sz w:val="22"/>
              </w:rPr>
              <w:t xml:space="preserve">to be </w:t>
            </w:r>
            <w:r w:rsidRPr="00E6631F">
              <w:rPr>
                <w:sz w:val="22"/>
              </w:rPr>
              <w:t xml:space="preserve">implemented, </w:t>
            </w:r>
            <w:r w:rsidRPr="00E6631F">
              <w:rPr>
                <w:rFonts w:cs="Arial"/>
                <w:sz w:val="22"/>
              </w:rPr>
              <w:t>there could be a case for reconsidering whether</w:t>
            </w:r>
            <w:r w:rsidRPr="00E6631F">
              <w:rPr>
                <w:sz w:val="22"/>
              </w:rPr>
              <w:t xml:space="preserve"> </w:t>
            </w:r>
            <w:r w:rsidR="00FA24D7">
              <w:rPr>
                <w:sz w:val="22"/>
              </w:rPr>
              <w:t xml:space="preserve">rental </w:t>
            </w:r>
            <w:r w:rsidRPr="00E6631F">
              <w:rPr>
                <w:sz w:val="22"/>
              </w:rPr>
              <w:t xml:space="preserve">loss ring-fencing </w:t>
            </w:r>
            <w:r w:rsidRPr="00E6631F">
              <w:rPr>
                <w:rFonts w:cs="Arial"/>
                <w:sz w:val="22"/>
              </w:rPr>
              <w:t xml:space="preserve">is necessary.  We note that the Government has stated that any significant changes legislated for from the </w:t>
            </w:r>
            <w:r w:rsidR="006C42CD">
              <w:rPr>
                <w:rFonts w:cs="Arial"/>
                <w:sz w:val="22"/>
              </w:rPr>
              <w:t>TWG’s</w:t>
            </w:r>
            <w:r w:rsidRPr="00E6631F">
              <w:rPr>
                <w:rFonts w:cs="Arial"/>
                <w:sz w:val="22"/>
              </w:rPr>
              <w:t xml:space="preserve"> final report will not come into force until the 2021 tax year.</w:t>
            </w:r>
            <w:r w:rsidRPr="000C4E26">
              <w:rPr>
                <w:rStyle w:val="FootnoteReference"/>
                <w:rFonts w:cs="Arial"/>
                <w:szCs w:val="16"/>
              </w:rPr>
              <w:footnoteReference w:id="5"/>
            </w:r>
            <w:r w:rsidR="0047179F" w:rsidRPr="00E6631F">
              <w:rPr>
                <w:rFonts w:cs="Arial"/>
                <w:sz w:val="22"/>
              </w:rPr>
              <w:t xml:space="preserve"> </w:t>
            </w:r>
          </w:p>
          <w:p w14:paraId="29756435" w14:textId="4672E779" w:rsidR="00950506" w:rsidRPr="00E6631F" w:rsidRDefault="00950506" w:rsidP="006943B3">
            <w:pPr>
              <w:pStyle w:val="TableText"/>
              <w:numPr>
                <w:ilvl w:val="0"/>
                <w:numId w:val="22"/>
              </w:numPr>
              <w:spacing w:before="240" w:after="240" w:line="276" w:lineRule="auto"/>
              <w:ind w:left="709" w:hanging="709"/>
              <w:rPr>
                <w:rFonts w:cs="Arial"/>
                <w:sz w:val="22"/>
              </w:rPr>
            </w:pPr>
            <w:r w:rsidRPr="0002425B">
              <w:rPr>
                <w:rFonts w:cs="Arial"/>
                <w:sz w:val="22"/>
              </w:rPr>
              <w:t>There are a range of Government policies and initiatives concerning housing</w:t>
            </w:r>
            <w:r>
              <w:rPr>
                <w:rFonts w:cs="Arial"/>
                <w:sz w:val="22"/>
              </w:rPr>
              <w:t>.</w:t>
            </w:r>
            <w:r w:rsidRPr="0002425B">
              <w:rPr>
                <w:rFonts w:cs="Arial"/>
                <w:sz w:val="22"/>
              </w:rPr>
              <w:t xml:space="preserve">  Supply</w:t>
            </w:r>
            <w:r w:rsidR="0079669D">
              <w:rPr>
                <w:rFonts w:cs="Arial"/>
                <w:sz w:val="22"/>
              </w:rPr>
              <w:t>-</w:t>
            </w:r>
            <w:r w:rsidRPr="0002425B">
              <w:rPr>
                <w:rFonts w:cs="Arial"/>
                <w:sz w:val="22"/>
              </w:rPr>
              <w:t>side initiatives include Kiwi</w:t>
            </w:r>
            <w:r>
              <w:rPr>
                <w:rFonts w:cs="Arial"/>
                <w:sz w:val="22"/>
              </w:rPr>
              <w:t>B</w:t>
            </w:r>
            <w:r w:rsidRPr="0002425B">
              <w:rPr>
                <w:rFonts w:cs="Arial"/>
                <w:sz w:val="22"/>
              </w:rPr>
              <w:t>uild, Special Housing Areas, and infrastructure financing and funding efforts.  Demand side initiatives include extension of the bright-line test, restrictions o</w:t>
            </w:r>
            <w:r w:rsidR="0079669D">
              <w:rPr>
                <w:rFonts w:cs="Arial"/>
                <w:sz w:val="22"/>
              </w:rPr>
              <w:t>n</w:t>
            </w:r>
            <w:r w:rsidRPr="0002425B">
              <w:rPr>
                <w:rFonts w:cs="Arial"/>
                <w:sz w:val="22"/>
              </w:rPr>
              <w:t xml:space="preserve"> foreign buyers, and </w:t>
            </w:r>
            <w:r w:rsidR="006943B3">
              <w:rPr>
                <w:rFonts w:cs="Arial"/>
                <w:sz w:val="22"/>
              </w:rPr>
              <w:t xml:space="preserve">the Reserve Bank’s </w:t>
            </w:r>
            <w:r w:rsidRPr="0002425B">
              <w:rPr>
                <w:rFonts w:cs="Arial"/>
                <w:sz w:val="22"/>
              </w:rPr>
              <w:t>loan-to-value ratio loan restrictions.</w:t>
            </w:r>
          </w:p>
        </w:tc>
      </w:tr>
    </w:tbl>
    <w:p w14:paraId="5BF36B10" w14:textId="77777777" w:rsidR="0062657E" w:rsidRPr="009C4129" w:rsidRDefault="0062657E" w:rsidP="007B090A">
      <w:pPr>
        <w:pStyle w:val="spacer"/>
        <w:spacing w:line="276" w:lineRule="auto"/>
        <w:rPr>
          <w:rFont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70783AB7" w14:textId="77777777" w:rsidTr="004A11FC">
        <w:trPr>
          <w:trHeight w:val="77"/>
        </w:trPr>
        <w:tc>
          <w:tcPr>
            <w:tcW w:w="5000" w:type="pct"/>
            <w:shd w:val="clear" w:color="auto" w:fill="99CDDD"/>
          </w:tcPr>
          <w:p w14:paraId="245F20C0" w14:textId="77777777" w:rsidR="0062657E" w:rsidRPr="009C4129" w:rsidRDefault="00663BAA" w:rsidP="00DF2E7B">
            <w:pPr>
              <w:spacing w:before="60" w:after="60" w:line="240" w:lineRule="auto"/>
              <w:rPr>
                <w:rFonts w:cs="Arial"/>
                <w:b/>
                <w:szCs w:val="22"/>
              </w:rPr>
            </w:pPr>
            <w:r>
              <w:rPr>
                <w:rFonts w:cs="Arial"/>
                <w:b/>
                <w:szCs w:val="22"/>
              </w:rPr>
              <w:t>2.5</w:t>
            </w:r>
            <w:r w:rsidR="0062657E" w:rsidRPr="009C4129">
              <w:rPr>
                <w:rFonts w:cs="Arial"/>
                <w:b/>
                <w:szCs w:val="22"/>
              </w:rPr>
              <w:t xml:space="preserve">     What do stakeholders think?</w:t>
            </w:r>
          </w:p>
        </w:tc>
      </w:tr>
      <w:tr w:rsidR="009C4129" w:rsidRPr="009C4129" w14:paraId="6AC8760F" w14:textId="77777777" w:rsidTr="00DF18A6">
        <w:trPr>
          <w:trHeight w:val="2481"/>
        </w:trPr>
        <w:tc>
          <w:tcPr>
            <w:tcW w:w="5000" w:type="pct"/>
            <w:shd w:val="clear" w:color="auto" w:fill="FFFFFF"/>
          </w:tcPr>
          <w:p w14:paraId="2BDF456A" w14:textId="5005CB6F" w:rsidR="005910ED" w:rsidRPr="002B6750" w:rsidRDefault="0015027D" w:rsidP="00EB6AD8">
            <w:pPr>
              <w:pStyle w:val="TableText"/>
              <w:numPr>
                <w:ilvl w:val="0"/>
                <w:numId w:val="23"/>
              </w:numPr>
              <w:spacing w:before="240" w:after="240" w:line="276" w:lineRule="auto"/>
              <w:ind w:left="709" w:hanging="709"/>
              <w:rPr>
                <w:sz w:val="22"/>
              </w:rPr>
            </w:pPr>
            <w:r w:rsidRPr="002B6750">
              <w:rPr>
                <w:rFonts w:cs="Arial"/>
                <w:sz w:val="22"/>
              </w:rPr>
              <w:t>Prior to releasing an officials’ issues paper for consultation, o</w:t>
            </w:r>
            <w:r w:rsidR="00D45B80" w:rsidRPr="002B6750">
              <w:rPr>
                <w:rFonts w:cs="Arial"/>
                <w:sz w:val="22"/>
              </w:rPr>
              <w:t>fficials</w:t>
            </w:r>
            <w:r w:rsidR="00D45B80" w:rsidRPr="002B6750">
              <w:rPr>
                <w:sz w:val="22"/>
              </w:rPr>
              <w:t xml:space="preserve"> had initial discussions on the proposal with a number of key private sector advisors</w:t>
            </w:r>
            <w:r w:rsidR="00950506" w:rsidRPr="002B6750">
              <w:rPr>
                <w:sz w:val="22"/>
              </w:rPr>
              <w:t>, including tax professionals and the N</w:t>
            </w:r>
            <w:r w:rsidR="00B6506E" w:rsidRPr="002B6750">
              <w:rPr>
                <w:sz w:val="22"/>
              </w:rPr>
              <w:t xml:space="preserve">ew </w:t>
            </w:r>
            <w:r w:rsidR="00950506" w:rsidRPr="002B6750">
              <w:rPr>
                <w:sz w:val="22"/>
              </w:rPr>
              <w:t>Z</w:t>
            </w:r>
            <w:r w:rsidR="00B6506E" w:rsidRPr="002B6750">
              <w:rPr>
                <w:sz w:val="22"/>
              </w:rPr>
              <w:t xml:space="preserve">ealand </w:t>
            </w:r>
            <w:r w:rsidR="00950506" w:rsidRPr="002B6750">
              <w:rPr>
                <w:sz w:val="22"/>
              </w:rPr>
              <w:t>P</w:t>
            </w:r>
            <w:r w:rsidR="00B6506E" w:rsidRPr="002B6750">
              <w:rPr>
                <w:sz w:val="22"/>
              </w:rPr>
              <w:t xml:space="preserve">roperty </w:t>
            </w:r>
            <w:r w:rsidR="00950506" w:rsidRPr="002B6750">
              <w:rPr>
                <w:sz w:val="22"/>
              </w:rPr>
              <w:t>I</w:t>
            </w:r>
            <w:r w:rsidR="00B6506E" w:rsidRPr="002B6750">
              <w:rPr>
                <w:sz w:val="22"/>
              </w:rPr>
              <w:t xml:space="preserve">nvestors’ </w:t>
            </w:r>
            <w:r w:rsidR="00950506" w:rsidRPr="002B6750">
              <w:rPr>
                <w:sz w:val="22"/>
              </w:rPr>
              <w:t>F</w:t>
            </w:r>
            <w:r w:rsidR="00B6506E" w:rsidRPr="002B6750">
              <w:rPr>
                <w:sz w:val="22"/>
              </w:rPr>
              <w:t>ederation</w:t>
            </w:r>
            <w:r w:rsidR="00D45B80" w:rsidRPr="002B6750">
              <w:rPr>
                <w:sz w:val="22"/>
              </w:rPr>
              <w:t xml:space="preserve">.  </w:t>
            </w:r>
            <w:r w:rsidR="000C4E26" w:rsidRPr="002B6750">
              <w:rPr>
                <w:sz w:val="22"/>
              </w:rPr>
              <w:t xml:space="preserve">Those discussions were aimed at gathering private sector views on key design issues and potential implementation and compliance concerns.  </w:t>
            </w:r>
          </w:p>
          <w:p w14:paraId="34EC5D6A" w14:textId="0E21F195" w:rsidR="0062657E" w:rsidRPr="009C4129" w:rsidRDefault="00D45B80" w:rsidP="000271A2">
            <w:pPr>
              <w:pStyle w:val="TableText"/>
              <w:numPr>
                <w:ilvl w:val="0"/>
                <w:numId w:val="23"/>
              </w:numPr>
              <w:spacing w:before="240" w:after="240" w:line="276" w:lineRule="auto"/>
              <w:ind w:left="709" w:hanging="709"/>
              <w:rPr>
                <w:rFonts w:cs="Arial"/>
              </w:rPr>
            </w:pPr>
            <w:r w:rsidRPr="002B6750">
              <w:rPr>
                <w:sz w:val="22"/>
              </w:rPr>
              <w:t xml:space="preserve">An </w:t>
            </w:r>
            <w:r w:rsidR="00950506" w:rsidRPr="002B6750">
              <w:rPr>
                <w:sz w:val="22"/>
              </w:rPr>
              <w:t>o</w:t>
            </w:r>
            <w:r w:rsidRPr="002B6750">
              <w:rPr>
                <w:sz w:val="22"/>
              </w:rPr>
              <w:t xml:space="preserve">fficials’ </w:t>
            </w:r>
            <w:r w:rsidR="00950506" w:rsidRPr="002B6750">
              <w:rPr>
                <w:sz w:val="22"/>
              </w:rPr>
              <w:t>i</w:t>
            </w:r>
            <w:r w:rsidRPr="002B6750">
              <w:rPr>
                <w:sz w:val="22"/>
              </w:rPr>
              <w:t xml:space="preserve">ssues </w:t>
            </w:r>
            <w:r w:rsidR="00950506" w:rsidRPr="002B6750">
              <w:rPr>
                <w:sz w:val="22"/>
              </w:rPr>
              <w:t>p</w:t>
            </w:r>
            <w:r w:rsidRPr="002B6750">
              <w:rPr>
                <w:sz w:val="22"/>
              </w:rPr>
              <w:t xml:space="preserve">aper </w:t>
            </w:r>
            <w:r w:rsidRPr="002B6750">
              <w:rPr>
                <w:i/>
                <w:sz w:val="22"/>
              </w:rPr>
              <w:t>Rental loss ring-fencing</w:t>
            </w:r>
            <w:r w:rsidRPr="002B6750">
              <w:rPr>
                <w:sz w:val="22"/>
              </w:rPr>
              <w:t xml:space="preserve"> </w:t>
            </w:r>
            <w:r w:rsidR="0015027D" w:rsidRPr="002B6750">
              <w:rPr>
                <w:sz w:val="22"/>
              </w:rPr>
              <w:t>was</w:t>
            </w:r>
            <w:r w:rsidR="00950506" w:rsidRPr="002B6750">
              <w:rPr>
                <w:sz w:val="22"/>
              </w:rPr>
              <w:t xml:space="preserve"> </w:t>
            </w:r>
            <w:r w:rsidRPr="002B6750">
              <w:rPr>
                <w:sz w:val="22"/>
              </w:rPr>
              <w:t>released</w:t>
            </w:r>
            <w:r w:rsidR="0015027D" w:rsidRPr="002B6750">
              <w:rPr>
                <w:sz w:val="22"/>
              </w:rPr>
              <w:t xml:space="preserve"> in March 2018</w:t>
            </w:r>
            <w:r w:rsidRPr="002B6750">
              <w:rPr>
                <w:sz w:val="22"/>
              </w:rPr>
              <w:t xml:space="preserve"> for full public consultation</w:t>
            </w:r>
            <w:r w:rsidR="0015027D" w:rsidRPr="002B6750">
              <w:rPr>
                <w:sz w:val="22"/>
              </w:rPr>
              <w:t xml:space="preserve"> on key design issues.  Inland Revenue received 10</w:t>
            </w:r>
            <w:r w:rsidR="00E363CC" w:rsidRPr="002B6750">
              <w:rPr>
                <w:sz w:val="22"/>
              </w:rPr>
              <w:t>6</w:t>
            </w:r>
            <w:r w:rsidR="0015027D" w:rsidRPr="002B6750">
              <w:rPr>
                <w:sz w:val="22"/>
              </w:rPr>
              <w:t xml:space="preserve"> submissions in response to this issues paper. </w:t>
            </w:r>
            <w:r w:rsidR="00E363CC" w:rsidRPr="002B6750">
              <w:rPr>
                <w:sz w:val="22"/>
              </w:rPr>
              <w:t xml:space="preserve"> </w:t>
            </w:r>
            <w:r w:rsidR="0015027D" w:rsidRPr="002B6750">
              <w:rPr>
                <w:sz w:val="22"/>
              </w:rPr>
              <w:t>Submitters’ views on the design options are noted in the discussion of those options in section 5</w:t>
            </w:r>
            <w:r w:rsidR="000271A2" w:rsidRPr="002B6750">
              <w:rPr>
                <w:sz w:val="22"/>
              </w:rPr>
              <w:t>.</w:t>
            </w:r>
          </w:p>
        </w:tc>
      </w:tr>
    </w:tbl>
    <w:p w14:paraId="6E03A6E5" w14:textId="77777777" w:rsidR="006D2AF3" w:rsidRDefault="006D2AF3" w:rsidP="007B090A">
      <w:pPr>
        <w:pStyle w:val="Heading2"/>
        <w:spacing w:line="276" w:lineRule="auto"/>
      </w:pPr>
    </w:p>
    <w:p w14:paraId="6D16FEF0" w14:textId="77777777" w:rsidR="006D2AF3" w:rsidRDefault="006D2AF3">
      <w:pPr>
        <w:spacing w:after="0" w:line="240" w:lineRule="auto"/>
        <w:rPr>
          <w:b/>
          <w:color w:val="0082AB"/>
          <w:spacing w:val="20"/>
          <w:w w:val="90"/>
          <w:sz w:val="32"/>
          <w:szCs w:val="24"/>
        </w:rPr>
      </w:pPr>
      <w:r>
        <w:br w:type="page"/>
      </w:r>
    </w:p>
    <w:p w14:paraId="27661363" w14:textId="1D269B0D" w:rsidR="0062657E" w:rsidRPr="00537EFE" w:rsidRDefault="0062657E" w:rsidP="007B090A">
      <w:pPr>
        <w:pStyle w:val="Heading2"/>
        <w:spacing w:line="276" w:lineRule="auto"/>
      </w:pPr>
      <w:r w:rsidRPr="0005691A">
        <w:lastRenderedPageBreak/>
        <w:t>Section 3:  Options 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14:paraId="07D634B8" w14:textId="77777777" w:rsidTr="00384E9B">
        <w:trPr>
          <w:trHeight w:val="77"/>
        </w:trPr>
        <w:tc>
          <w:tcPr>
            <w:tcW w:w="5000" w:type="pct"/>
            <w:shd w:val="clear" w:color="auto" w:fill="99CDDD"/>
            <w:hideMark/>
          </w:tcPr>
          <w:p w14:paraId="12029336" w14:textId="6A62EC56" w:rsidR="0062657E" w:rsidRPr="00235FAD" w:rsidRDefault="0062657E" w:rsidP="00235FAD">
            <w:pPr>
              <w:pStyle w:val="ListParagraph"/>
              <w:numPr>
                <w:ilvl w:val="1"/>
                <w:numId w:val="33"/>
              </w:numPr>
              <w:spacing w:before="60" w:after="60" w:line="240" w:lineRule="auto"/>
              <w:rPr>
                <w:rFonts w:cs="Arial"/>
                <w:b/>
                <w:szCs w:val="22"/>
                <w:lang w:eastAsia="en-AU"/>
              </w:rPr>
            </w:pPr>
            <w:r w:rsidRPr="00235FAD">
              <w:rPr>
                <w:rFonts w:cs="Arial"/>
                <w:b/>
                <w:szCs w:val="22"/>
                <w:lang w:eastAsia="en-AU"/>
              </w:rPr>
              <w:t xml:space="preserve">  What options are available to address the problem?</w:t>
            </w:r>
          </w:p>
        </w:tc>
      </w:tr>
      <w:tr w:rsidR="009C4129" w:rsidRPr="009C4129" w14:paraId="220C019F" w14:textId="77777777" w:rsidTr="00384E9B">
        <w:trPr>
          <w:trHeight w:val="2350"/>
        </w:trPr>
        <w:tc>
          <w:tcPr>
            <w:tcW w:w="5000" w:type="pct"/>
            <w:shd w:val="clear" w:color="auto" w:fill="FFFFFF"/>
          </w:tcPr>
          <w:p w14:paraId="01FC4CB3" w14:textId="43AA3F3B" w:rsidR="00E279F3" w:rsidRPr="005A1106" w:rsidRDefault="00235FAD" w:rsidP="00235FAD">
            <w:pPr>
              <w:pStyle w:val="TableText"/>
              <w:spacing w:before="240" w:after="240" w:line="276" w:lineRule="auto"/>
              <w:ind w:left="720" w:hanging="720"/>
              <w:rPr>
                <w:rFonts w:cs="Arial"/>
                <w:b/>
                <w:sz w:val="22"/>
              </w:rPr>
            </w:pPr>
            <w:r>
              <w:rPr>
                <w:sz w:val="22"/>
              </w:rPr>
              <w:t>3.1.1</w:t>
            </w:r>
            <w:r>
              <w:rPr>
                <w:sz w:val="22"/>
              </w:rPr>
              <w:tab/>
            </w:r>
            <w:r w:rsidR="001C4B4E" w:rsidRPr="00C12650">
              <w:rPr>
                <w:sz w:val="22"/>
              </w:rPr>
              <w:t>Our</w:t>
            </w:r>
            <w:r w:rsidR="001C4B4E">
              <w:rPr>
                <w:rFonts w:cs="Arial"/>
                <w:sz w:val="22"/>
              </w:rPr>
              <w:t xml:space="preserve"> options analysis looks at the following </w:t>
            </w:r>
            <w:r w:rsidR="007B6890">
              <w:rPr>
                <w:rFonts w:cs="Arial"/>
                <w:sz w:val="22"/>
              </w:rPr>
              <w:t xml:space="preserve">packages of </w:t>
            </w:r>
            <w:r w:rsidR="001C4B4E">
              <w:rPr>
                <w:rFonts w:cs="Arial"/>
                <w:sz w:val="22"/>
              </w:rPr>
              <w:t xml:space="preserve">key </w:t>
            </w:r>
            <w:r w:rsidR="00B016FA" w:rsidRPr="00463310">
              <w:rPr>
                <w:rFonts w:cs="Arial"/>
                <w:sz w:val="22"/>
              </w:rPr>
              <w:t xml:space="preserve">design </w:t>
            </w:r>
            <w:r w:rsidR="007B6890">
              <w:rPr>
                <w:rFonts w:cs="Arial"/>
                <w:sz w:val="22"/>
              </w:rPr>
              <w:t>options</w:t>
            </w:r>
            <w:r w:rsidR="00B016FA" w:rsidRPr="00463310">
              <w:rPr>
                <w:rFonts w:cs="Arial"/>
                <w:sz w:val="22"/>
              </w:rPr>
              <w:t xml:space="preserve"> </w:t>
            </w:r>
            <w:r w:rsidR="001C4B4E">
              <w:rPr>
                <w:rFonts w:cs="Arial"/>
                <w:sz w:val="22"/>
              </w:rPr>
              <w:t>for the proposed loss ring-fencing rules</w:t>
            </w:r>
            <w:r w:rsidR="00E279F3">
              <w:rPr>
                <w:rFonts w:cs="Arial"/>
                <w:sz w:val="22"/>
              </w:rPr>
              <w:t>:</w:t>
            </w:r>
          </w:p>
          <w:p w14:paraId="1EA34866" w14:textId="36ABEC70" w:rsidR="00966144" w:rsidRDefault="00171C82" w:rsidP="00171C82">
            <w:pPr>
              <w:pStyle w:val="TableText"/>
              <w:spacing w:before="240" w:after="240" w:line="276" w:lineRule="auto"/>
              <w:ind w:left="709"/>
              <w:rPr>
                <w:rFonts w:cs="Arial"/>
                <w:sz w:val="22"/>
              </w:rPr>
            </w:pPr>
            <w:r>
              <w:rPr>
                <w:rFonts w:cs="Arial"/>
                <w:sz w:val="22"/>
              </w:rPr>
              <w:t xml:space="preserve">Option 1: </w:t>
            </w:r>
            <w:r w:rsidR="00966144">
              <w:rPr>
                <w:rFonts w:cs="Arial"/>
                <w:sz w:val="22"/>
              </w:rPr>
              <w:t>Status quo.</w:t>
            </w:r>
          </w:p>
          <w:p w14:paraId="357C22CC" w14:textId="7C9A5D2D" w:rsidR="00E279F3" w:rsidRDefault="00171C82" w:rsidP="00171C82">
            <w:pPr>
              <w:pStyle w:val="TableText"/>
              <w:spacing w:before="240" w:after="240" w:line="276" w:lineRule="auto"/>
              <w:ind w:left="709"/>
              <w:rPr>
                <w:rFonts w:cs="Arial"/>
                <w:sz w:val="22"/>
              </w:rPr>
            </w:pPr>
            <w:r>
              <w:rPr>
                <w:rFonts w:cs="Arial"/>
                <w:sz w:val="22"/>
              </w:rPr>
              <w:t xml:space="preserve">Option 2: </w:t>
            </w:r>
            <w:r w:rsidR="007B6890">
              <w:rPr>
                <w:rFonts w:cs="Arial"/>
                <w:sz w:val="22"/>
              </w:rPr>
              <w:t xml:space="preserve">Design options proposed in the officials’ issues paper. </w:t>
            </w:r>
          </w:p>
          <w:p w14:paraId="28C5BAFA" w14:textId="48F5750B" w:rsidR="00E279F3" w:rsidRDefault="00171C82" w:rsidP="00171C82">
            <w:pPr>
              <w:pStyle w:val="TableText"/>
              <w:spacing w:before="240" w:after="240" w:line="276" w:lineRule="auto"/>
              <w:ind w:left="709"/>
              <w:rPr>
                <w:rFonts w:cs="Arial"/>
                <w:sz w:val="22"/>
              </w:rPr>
            </w:pPr>
            <w:r>
              <w:rPr>
                <w:rFonts w:cs="Arial"/>
                <w:sz w:val="22"/>
              </w:rPr>
              <w:t xml:space="preserve">Option 3: </w:t>
            </w:r>
            <w:r w:rsidR="007B6890">
              <w:rPr>
                <w:rFonts w:cs="Arial"/>
                <w:sz w:val="22"/>
              </w:rPr>
              <w:t>Design options reflecting submissions received on the officials’ issues paper.</w:t>
            </w:r>
          </w:p>
          <w:p w14:paraId="5CC27DF5" w14:textId="01F81D7E" w:rsidR="00831CFB" w:rsidRPr="00235FAD" w:rsidRDefault="00235FAD" w:rsidP="00235FAD">
            <w:pPr>
              <w:pStyle w:val="TableText"/>
              <w:spacing w:before="240" w:after="240" w:line="276" w:lineRule="auto"/>
              <w:ind w:left="720" w:hanging="720"/>
              <w:rPr>
                <w:sz w:val="22"/>
              </w:rPr>
            </w:pPr>
            <w:r>
              <w:rPr>
                <w:sz w:val="22"/>
              </w:rPr>
              <w:t>3.1.2</w:t>
            </w:r>
            <w:r>
              <w:rPr>
                <w:sz w:val="22"/>
              </w:rPr>
              <w:tab/>
            </w:r>
            <w:r w:rsidR="00831CFB" w:rsidRPr="00235FAD">
              <w:rPr>
                <w:sz w:val="22"/>
              </w:rPr>
              <w:t>The options considered in relation to each of the above key design issues are as follows:</w:t>
            </w:r>
            <w:r w:rsidR="007556AD" w:rsidRPr="00235FAD">
              <w:rPr>
                <w:sz w:val="22"/>
              </w:rPr>
              <w:t xml:space="preserve"> (all options are mutually exclusive)</w:t>
            </w:r>
          </w:p>
          <w:p w14:paraId="101189B9" w14:textId="1A38ABC0" w:rsidR="002B6750" w:rsidRPr="002B6750" w:rsidRDefault="002B6750" w:rsidP="002B6750">
            <w:pPr>
              <w:spacing w:before="360" w:line="276" w:lineRule="auto"/>
              <w:rPr>
                <w:rFonts w:cs="Arial"/>
                <w:b/>
                <w:szCs w:val="22"/>
                <w:lang w:eastAsia="en-AU"/>
              </w:rPr>
            </w:pPr>
            <w:r>
              <w:rPr>
                <w:rFonts w:cs="Arial"/>
                <w:b/>
                <w:szCs w:val="22"/>
                <w:lang w:eastAsia="en-AU"/>
              </w:rPr>
              <w:t xml:space="preserve">Option 1: </w:t>
            </w:r>
            <w:r w:rsidRPr="002B6750">
              <w:rPr>
                <w:rFonts w:cs="Arial"/>
                <w:b/>
                <w:szCs w:val="22"/>
                <w:lang w:eastAsia="en-AU"/>
              </w:rPr>
              <w:t>Status quo</w:t>
            </w:r>
          </w:p>
          <w:p w14:paraId="735D08E9" w14:textId="17E02751" w:rsidR="002B6750" w:rsidRPr="00BA316C" w:rsidRDefault="00BA316C" w:rsidP="00BA316C">
            <w:pPr>
              <w:pStyle w:val="TableText"/>
              <w:spacing w:before="240" w:after="240" w:line="276" w:lineRule="auto"/>
              <w:ind w:left="720" w:hanging="720"/>
              <w:rPr>
                <w:sz w:val="22"/>
              </w:rPr>
            </w:pPr>
            <w:r>
              <w:rPr>
                <w:sz w:val="22"/>
              </w:rPr>
              <w:t>3.1.3</w:t>
            </w:r>
            <w:r>
              <w:rPr>
                <w:sz w:val="22"/>
              </w:rPr>
              <w:tab/>
            </w:r>
            <w:r w:rsidR="002B6750" w:rsidRPr="00BA316C">
              <w:rPr>
                <w:sz w:val="22"/>
              </w:rPr>
              <w:t>There are no rules which ring-fence rental losses, therefore any losses incurred on a rental property can be offset against the taxpayer’s other income.</w:t>
            </w:r>
          </w:p>
          <w:p w14:paraId="602C4C4A" w14:textId="5869539C" w:rsidR="007556AD" w:rsidRPr="002B6750" w:rsidRDefault="002B6750" w:rsidP="002B6750">
            <w:pPr>
              <w:pStyle w:val="TableText"/>
              <w:spacing w:before="240" w:after="240" w:line="276" w:lineRule="auto"/>
              <w:rPr>
                <w:rFonts w:cs="Arial"/>
                <w:b/>
                <w:sz w:val="22"/>
              </w:rPr>
            </w:pPr>
            <w:r>
              <w:rPr>
                <w:rFonts w:cs="Arial"/>
                <w:b/>
                <w:sz w:val="22"/>
              </w:rPr>
              <w:t xml:space="preserve">Option 2: </w:t>
            </w:r>
            <w:r w:rsidR="00733859" w:rsidRPr="002B6750">
              <w:rPr>
                <w:rFonts w:cs="Arial"/>
                <w:b/>
                <w:sz w:val="22"/>
              </w:rPr>
              <w:t>Design</w:t>
            </w:r>
            <w:r w:rsidR="007556AD" w:rsidRPr="002B6750">
              <w:rPr>
                <w:rFonts w:cs="Arial"/>
                <w:b/>
                <w:sz w:val="22"/>
              </w:rPr>
              <w:t xml:space="preserve"> options proposed in the officials’ issues paper </w:t>
            </w:r>
          </w:p>
          <w:p w14:paraId="0BA870C8" w14:textId="55221C7C" w:rsidR="007556AD" w:rsidRPr="00BA316C" w:rsidRDefault="00BA316C" w:rsidP="00BA316C">
            <w:pPr>
              <w:pStyle w:val="TableText"/>
              <w:spacing w:before="240" w:after="240" w:line="276" w:lineRule="auto"/>
              <w:ind w:left="720" w:hanging="720"/>
              <w:rPr>
                <w:sz w:val="22"/>
              </w:rPr>
            </w:pPr>
            <w:r>
              <w:rPr>
                <w:sz w:val="22"/>
              </w:rPr>
              <w:t>3.1.4</w:t>
            </w:r>
            <w:r>
              <w:rPr>
                <w:sz w:val="22"/>
              </w:rPr>
              <w:tab/>
            </w:r>
            <w:r w:rsidR="007556AD" w:rsidRPr="00BA316C">
              <w:rPr>
                <w:sz w:val="22"/>
              </w:rPr>
              <w:t xml:space="preserve">This option reflects the package of design features which were proposed in the officials’ issues paper released for public consultation in </w:t>
            </w:r>
            <w:r w:rsidR="00171C82" w:rsidRPr="00BA316C">
              <w:rPr>
                <w:sz w:val="22"/>
              </w:rPr>
              <w:t xml:space="preserve">March 2018. </w:t>
            </w:r>
          </w:p>
          <w:p w14:paraId="52C88868" w14:textId="23130104" w:rsidR="007556AD" w:rsidRPr="007556AD" w:rsidRDefault="007556AD" w:rsidP="007556AD">
            <w:pPr>
              <w:pStyle w:val="TableText"/>
              <w:spacing w:before="240" w:after="240" w:line="276" w:lineRule="auto"/>
              <w:rPr>
                <w:rFonts w:cs="Arial"/>
                <w:b/>
                <w:i/>
                <w:sz w:val="22"/>
              </w:rPr>
            </w:pPr>
            <w:r w:rsidRPr="007556AD">
              <w:rPr>
                <w:rFonts w:cs="Arial"/>
                <w:b/>
                <w:i/>
                <w:sz w:val="22"/>
              </w:rPr>
              <w:t>Land within the scope of the proposed rules</w:t>
            </w:r>
          </w:p>
          <w:p w14:paraId="395EC2F6" w14:textId="7616D002" w:rsidR="0077697E" w:rsidRDefault="00BA316C" w:rsidP="00BA316C">
            <w:pPr>
              <w:pStyle w:val="TableText"/>
              <w:spacing w:before="240" w:after="240" w:line="276" w:lineRule="auto"/>
              <w:ind w:left="720" w:hanging="720"/>
              <w:rPr>
                <w:sz w:val="22"/>
              </w:rPr>
            </w:pPr>
            <w:r>
              <w:rPr>
                <w:sz w:val="22"/>
              </w:rPr>
              <w:t>3.1.5</w:t>
            </w:r>
            <w:r>
              <w:rPr>
                <w:sz w:val="22"/>
              </w:rPr>
              <w:tab/>
            </w:r>
            <w:r w:rsidR="008F6969" w:rsidRPr="00BA316C">
              <w:rPr>
                <w:sz w:val="22"/>
              </w:rPr>
              <w:t xml:space="preserve">The </w:t>
            </w:r>
            <w:r w:rsidR="008F6969" w:rsidRPr="00C12650">
              <w:rPr>
                <w:sz w:val="22"/>
              </w:rPr>
              <w:t>proposed</w:t>
            </w:r>
            <w:r w:rsidR="008F6969" w:rsidRPr="00BA316C">
              <w:rPr>
                <w:sz w:val="22"/>
              </w:rPr>
              <w:t xml:space="preserve"> loss ring-fencing rules are to apply to residential land.  </w:t>
            </w:r>
            <w:r w:rsidR="008F6969" w:rsidRPr="00C12650">
              <w:rPr>
                <w:sz w:val="22"/>
              </w:rPr>
              <w:t xml:space="preserve">There is already a definition of “residential land” in the </w:t>
            </w:r>
            <w:r w:rsidR="008F6969" w:rsidRPr="00BA316C">
              <w:rPr>
                <w:sz w:val="22"/>
              </w:rPr>
              <w:t>Income</w:t>
            </w:r>
            <w:r w:rsidR="008F6969" w:rsidRPr="00C12650">
              <w:rPr>
                <w:sz w:val="22"/>
              </w:rPr>
              <w:t xml:space="preserve"> Tax Act 2007, and the loss ring-fencing rules </w:t>
            </w:r>
            <w:r w:rsidR="00171C82">
              <w:rPr>
                <w:sz w:val="22"/>
              </w:rPr>
              <w:t xml:space="preserve">would </w:t>
            </w:r>
            <w:r w:rsidR="008F6969" w:rsidRPr="00C12650">
              <w:rPr>
                <w:sz w:val="22"/>
              </w:rPr>
              <w:t>apply to land within that definition.  Using the definition already in the legislation would avoid the additional complexity of having different definitions for different rules.  The options for what property the rules should apply to are around what residential land should be excluded from the scope of the rules.</w:t>
            </w:r>
            <w:r w:rsidR="009252D1" w:rsidRPr="00C12650">
              <w:rPr>
                <w:sz w:val="22"/>
              </w:rPr>
              <w:t xml:space="preserve">  </w:t>
            </w:r>
          </w:p>
          <w:p w14:paraId="780F1933" w14:textId="1CAA6EE5" w:rsidR="007556AD" w:rsidRDefault="00BA316C" w:rsidP="00BA316C">
            <w:pPr>
              <w:pStyle w:val="TableText"/>
              <w:spacing w:before="240" w:after="240" w:line="276" w:lineRule="auto"/>
              <w:ind w:left="720" w:hanging="720"/>
              <w:rPr>
                <w:sz w:val="22"/>
              </w:rPr>
            </w:pPr>
            <w:r>
              <w:rPr>
                <w:sz w:val="22"/>
              </w:rPr>
              <w:t>3.1.6</w:t>
            </w:r>
            <w:r>
              <w:rPr>
                <w:sz w:val="22"/>
              </w:rPr>
              <w:tab/>
            </w:r>
            <w:r w:rsidR="007556AD">
              <w:rPr>
                <w:sz w:val="22"/>
              </w:rPr>
              <w:t xml:space="preserve">The rules are not proposed to apply to residential land that is the taxpayer’s main home, or residential land that is subject to the mixed-use asset rules.  </w:t>
            </w:r>
          </w:p>
          <w:p w14:paraId="35DF6CBD" w14:textId="340B70C3" w:rsidR="007556AD" w:rsidRPr="007556AD" w:rsidRDefault="00BA316C" w:rsidP="00BA316C">
            <w:pPr>
              <w:pStyle w:val="TableText"/>
              <w:spacing w:before="240" w:after="240" w:line="276" w:lineRule="auto"/>
              <w:ind w:left="720" w:hanging="720"/>
              <w:rPr>
                <w:sz w:val="22"/>
              </w:rPr>
            </w:pPr>
            <w:r>
              <w:rPr>
                <w:sz w:val="22"/>
              </w:rPr>
              <w:t>3.1.7</w:t>
            </w:r>
            <w:r>
              <w:rPr>
                <w:sz w:val="22"/>
              </w:rPr>
              <w:tab/>
            </w:r>
            <w:r w:rsidR="009252D1" w:rsidRPr="00BA316C">
              <w:rPr>
                <w:sz w:val="22"/>
              </w:rPr>
              <w:t>The</w:t>
            </w:r>
            <w:r w:rsidR="009252D1" w:rsidRPr="007556AD">
              <w:rPr>
                <w:rFonts w:cs="Arial"/>
                <w:sz w:val="22"/>
              </w:rPr>
              <w:t xml:space="preserve"> rules will not apply to residential land that is</w:t>
            </w:r>
            <w:r w:rsidR="00184A25" w:rsidRPr="007556AD">
              <w:rPr>
                <w:rFonts w:cs="Arial"/>
                <w:sz w:val="22"/>
              </w:rPr>
              <w:t xml:space="preserve"> on revenue account because</w:t>
            </w:r>
            <w:r w:rsidR="007556AD" w:rsidRPr="007556AD">
              <w:rPr>
                <w:rFonts w:cs="Arial"/>
                <w:sz w:val="22"/>
              </w:rPr>
              <w:t xml:space="preserve"> the taxpayer </w:t>
            </w:r>
            <w:r w:rsidR="00807E2C" w:rsidRPr="007556AD">
              <w:rPr>
                <w:rFonts w:cs="Arial"/>
                <w:sz w:val="22"/>
              </w:rPr>
              <w:t>acquire</w:t>
            </w:r>
            <w:r w:rsidR="00922229" w:rsidRPr="007556AD">
              <w:rPr>
                <w:rFonts w:cs="Arial"/>
                <w:sz w:val="22"/>
              </w:rPr>
              <w:t>s</w:t>
            </w:r>
            <w:r w:rsidR="00807E2C" w:rsidRPr="007556AD">
              <w:rPr>
                <w:rFonts w:cs="Arial"/>
                <w:sz w:val="22"/>
              </w:rPr>
              <w:t xml:space="preserve"> the property for the purpose of a </w:t>
            </w:r>
            <w:r w:rsidR="00184A25" w:rsidRPr="007556AD">
              <w:rPr>
                <w:rFonts w:cs="Arial"/>
                <w:sz w:val="22"/>
              </w:rPr>
              <w:t>land-related bu</w:t>
            </w:r>
            <w:r w:rsidR="00564156" w:rsidRPr="007556AD">
              <w:rPr>
                <w:rFonts w:cs="Arial"/>
                <w:sz w:val="22"/>
              </w:rPr>
              <w:t>siness</w:t>
            </w:r>
            <w:r w:rsidR="007556AD">
              <w:rPr>
                <w:rFonts w:cs="Arial"/>
              </w:rPr>
              <w:t>.</w:t>
            </w:r>
            <w:r w:rsidR="00807E2C">
              <w:rPr>
                <w:rStyle w:val="FootnoteReference"/>
                <w:rFonts w:cs="Arial"/>
              </w:rPr>
              <w:footnoteReference w:id="6"/>
            </w:r>
            <w:r w:rsidR="00564156" w:rsidRPr="007556AD">
              <w:rPr>
                <w:rFonts w:cs="Arial"/>
              </w:rPr>
              <w:t xml:space="preserve"> </w:t>
            </w:r>
          </w:p>
          <w:p w14:paraId="5D822D7A" w14:textId="00CE105F" w:rsidR="001E0042" w:rsidRPr="00BA316C" w:rsidRDefault="00BA316C" w:rsidP="00BA316C">
            <w:pPr>
              <w:pStyle w:val="TableText"/>
              <w:spacing w:before="240" w:after="240" w:line="276" w:lineRule="auto"/>
              <w:ind w:left="720" w:hanging="720"/>
              <w:rPr>
                <w:sz w:val="22"/>
              </w:rPr>
            </w:pPr>
            <w:r>
              <w:rPr>
                <w:sz w:val="22"/>
              </w:rPr>
              <w:t>3.1.8</w:t>
            </w:r>
            <w:r>
              <w:rPr>
                <w:sz w:val="22"/>
              </w:rPr>
              <w:tab/>
            </w:r>
            <w:r w:rsidR="007556AD" w:rsidRPr="00BA316C">
              <w:rPr>
                <w:sz w:val="22"/>
              </w:rPr>
              <w:t>Finally, t</w:t>
            </w:r>
            <w:r w:rsidR="00184A25" w:rsidRPr="00BA316C">
              <w:rPr>
                <w:sz w:val="22"/>
              </w:rPr>
              <w:t xml:space="preserve">he rules will apply to residential land that is owned by </w:t>
            </w:r>
            <w:r w:rsidR="00251175" w:rsidRPr="00BA316C">
              <w:rPr>
                <w:sz w:val="22"/>
              </w:rPr>
              <w:t xml:space="preserve">all persons, including </w:t>
            </w:r>
            <w:r w:rsidR="00184A25" w:rsidRPr="00BA316C">
              <w:rPr>
                <w:sz w:val="22"/>
              </w:rPr>
              <w:t>compan</w:t>
            </w:r>
            <w:r w:rsidR="00251175" w:rsidRPr="00BA316C">
              <w:rPr>
                <w:sz w:val="22"/>
              </w:rPr>
              <w:t>ies and trusts</w:t>
            </w:r>
            <w:r w:rsidR="00184A25" w:rsidRPr="00BA316C">
              <w:rPr>
                <w:sz w:val="22"/>
              </w:rPr>
              <w:t>.</w:t>
            </w:r>
          </w:p>
          <w:p w14:paraId="2B1ABFBC" w14:textId="13D81C1E" w:rsidR="007556AD" w:rsidRPr="007556AD" w:rsidRDefault="007556AD" w:rsidP="007556AD">
            <w:pPr>
              <w:pStyle w:val="TableText"/>
              <w:spacing w:before="240" w:after="240" w:line="276" w:lineRule="auto"/>
              <w:rPr>
                <w:rFonts w:cs="Arial"/>
                <w:b/>
                <w:i/>
                <w:sz w:val="22"/>
              </w:rPr>
            </w:pPr>
            <w:r>
              <w:rPr>
                <w:rFonts w:cs="Arial"/>
                <w:b/>
                <w:i/>
                <w:sz w:val="22"/>
              </w:rPr>
              <w:t>Level at which the loss ring-fencing rules should apply (ie, at the individual  property level or across a portfolio)</w:t>
            </w:r>
          </w:p>
          <w:p w14:paraId="4B0C9227" w14:textId="67200302" w:rsidR="001D2D38" w:rsidRPr="00BA316C" w:rsidRDefault="00BA316C" w:rsidP="00BA316C">
            <w:pPr>
              <w:pStyle w:val="TableText"/>
              <w:spacing w:before="240" w:after="240" w:line="276" w:lineRule="auto"/>
              <w:ind w:left="720" w:hanging="720"/>
              <w:rPr>
                <w:sz w:val="22"/>
              </w:rPr>
            </w:pPr>
            <w:r>
              <w:rPr>
                <w:sz w:val="22"/>
              </w:rPr>
              <w:t>3.1.9</w:t>
            </w:r>
            <w:r>
              <w:rPr>
                <w:sz w:val="22"/>
              </w:rPr>
              <w:tab/>
            </w:r>
            <w:r w:rsidR="001D2D38" w:rsidRPr="00BA316C">
              <w:rPr>
                <w:sz w:val="22"/>
              </w:rPr>
              <w:t xml:space="preserve">Losses are ring-fenced within a portfolio of residential property.  If a taxpayer has a </w:t>
            </w:r>
            <w:r w:rsidR="001D2D38" w:rsidRPr="00BA316C">
              <w:rPr>
                <w:sz w:val="22"/>
              </w:rPr>
              <w:lastRenderedPageBreak/>
              <w:t>portfolio of residential investment properties, losses from one property can be used to offset profits from another property within the portfolio.</w:t>
            </w:r>
          </w:p>
          <w:p w14:paraId="0237BAB8" w14:textId="2172DC3D" w:rsidR="001D2D38" w:rsidRPr="00552A37" w:rsidRDefault="008C4A12" w:rsidP="00733859">
            <w:pPr>
              <w:spacing w:before="360" w:line="276" w:lineRule="auto"/>
              <w:rPr>
                <w:rFonts w:cs="Arial"/>
                <w:b/>
                <w:i/>
                <w:szCs w:val="22"/>
                <w:lang w:eastAsia="en-AU"/>
              </w:rPr>
            </w:pPr>
            <w:r w:rsidRPr="00552A37">
              <w:rPr>
                <w:rFonts w:cs="Arial"/>
                <w:b/>
                <w:i/>
                <w:szCs w:val="22"/>
                <w:lang w:eastAsia="en-AU"/>
              </w:rPr>
              <w:t>Whether</w:t>
            </w:r>
            <w:r w:rsidRPr="00552A37">
              <w:rPr>
                <w:rFonts w:cs="Arial"/>
                <w:b/>
                <w:i/>
              </w:rPr>
              <w:t xml:space="preserve"> ring-fenced losses should be released on the sale of a residential property</w:t>
            </w:r>
          </w:p>
          <w:p w14:paraId="28C5FDDD" w14:textId="145127AF" w:rsidR="001D2D38" w:rsidRPr="00BA316C" w:rsidRDefault="00BA316C" w:rsidP="00BA316C">
            <w:pPr>
              <w:pStyle w:val="TableText"/>
              <w:spacing w:before="240" w:after="240" w:line="276" w:lineRule="auto"/>
              <w:ind w:left="720" w:hanging="720"/>
              <w:rPr>
                <w:sz w:val="22"/>
              </w:rPr>
            </w:pPr>
            <w:r>
              <w:rPr>
                <w:sz w:val="22"/>
              </w:rPr>
              <w:t>3.1.10</w:t>
            </w:r>
            <w:r>
              <w:rPr>
                <w:sz w:val="22"/>
              </w:rPr>
              <w:tab/>
            </w:r>
            <w:r w:rsidR="001D2D38" w:rsidRPr="00BA316C">
              <w:rPr>
                <w:sz w:val="22"/>
              </w:rPr>
              <w:t>Ring-fenced losses are able to be used on a sale of residential land th</w:t>
            </w:r>
            <w:r w:rsidR="00251175" w:rsidRPr="00BA316C">
              <w:rPr>
                <w:sz w:val="22"/>
              </w:rPr>
              <w:t>at gives rise to taxable income; to the extent they reduce the taxable gain to nil, with any further unused losses remaining ring-fenced.</w:t>
            </w:r>
          </w:p>
          <w:p w14:paraId="31BE7AE7" w14:textId="11755673" w:rsidR="001D2D38" w:rsidRPr="00733859" w:rsidRDefault="001D2D38" w:rsidP="00733859">
            <w:pPr>
              <w:spacing w:before="360" w:line="276" w:lineRule="auto"/>
              <w:rPr>
                <w:rFonts w:cs="Arial"/>
                <w:b/>
                <w:i/>
                <w:szCs w:val="22"/>
                <w:lang w:eastAsia="en-AU"/>
              </w:rPr>
            </w:pPr>
            <w:r w:rsidRPr="00733859">
              <w:rPr>
                <w:rFonts w:cs="Arial"/>
                <w:b/>
                <w:i/>
                <w:szCs w:val="22"/>
                <w:lang w:eastAsia="en-AU"/>
              </w:rPr>
              <w:t>What</w:t>
            </w:r>
            <w:r w:rsidRPr="00733859">
              <w:rPr>
                <w:rFonts w:cs="Arial"/>
                <w:b/>
                <w:i/>
              </w:rPr>
              <w:t xml:space="preserve"> </w:t>
            </w:r>
            <w:r w:rsidRPr="00733859">
              <w:rPr>
                <w:rFonts w:cs="Arial"/>
                <w:b/>
                <w:i/>
                <w:szCs w:val="22"/>
                <w:lang w:eastAsia="en-AU"/>
              </w:rPr>
              <w:t>rules</w:t>
            </w:r>
            <w:r w:rsidRPr="00733859">
              <w:rPr>
                <w:rFonts w:cs="Arial"/>
                <w:b/>
                <w:i/>
              </w:rPr>
              <w:t xml:space="preserve"> should be put in place</w:t>
            </w:r>
            <w:r w:rsidRPr="00733859">
              <w:rPr>
                <w:rFonts w:cs="Arial"/>
                <w:b/>
                <w:i/>
                <w:szCs w:val="22"/>
              </w:rPr>
              <w:t xml:space="preserve"> to minimise opportunities to structure around the loss ring-fencing rules</w:t>
            </w:r>
          </w:p>
          <w:p w14:paraId="03F96A03" w14:textId="0067B2FC" w:rsidR="00733859" w:rsidRPr="00BA316C" w:rsidRDefault="00BA316C" w:rsidP="00BA316C">
            <w:pPr>
              <w:pStyle w:val="TableText"/>
              <w:spacing w:before="240" w:after="240" w:line="276" w:lineRule="auto"/>
              <w:ind w:left="720" w:hanging="720"/>
              <w:rPr>
                <w:sz w:val="22"/>
              </w:rPr>
            </w:pPr>
            <w:r>
              <w:rPr>
                <w:sz w:val="22"/>
              </w:rPr>
              <w:t>3.1.11</w:t>
            </w:r>
            <w:r>
              <w:rPr>
                <w:sz w:val="22"/>
              </w:rPr>
              <w:tab/>
            </w:r>
            <w:r w:rsidR="006943B3">
              <w:rPr>
                <w:sz w:val="22"/>
              </w:rPr>
              <w:t xml:space="preserve">This option would include specific rules to address </w:t>
            </w:r>
            <w:r w:rsidR="00171C82">
              <w:rPr>
                <w:sz w:val="22"/>
              </w:rPr>
              <w:t>a</w:t>
            </w:r>
            <w:r w:rsidR="006943B3">
              <w:rPr>
                <w:sz w:val="22"/>
              </w:rPr>
              <w:t xml:space="preserve"> structuring opportunit</w:t>
            </w:r>
            <w:r w:rsidR="00171C82">
              <w:rPr>
                <w:sz w:val="22"/>
              </w:rPr>
              <w:t>y</w:t>
            </w:r>
            <w:r w:rsidR="006943B3">
              <w:rPr>
                <w:sz w:val="22"/>
              </w:rPr>
              <w:t xml:space="preserve"> to get around the new rules.</w:t>
            </w:r>
            <w:r w:rsidR="006943B3" w:rsidRPr="00C12650">
              <w:rPr>
                <w:sz w:val="22"/>
              </w:rPr>
              <w:t xml:space="preserve">  </w:t>
            </w:r>
            <w:r w:rsidR="00184A25" w:rsidRPr="00C12650">
              <w:rPr>
                <w:sz w:val="22"/>
              </w:rPr>
              <w:t xml:space="preserve">These concern interest allocation and the interposing of entities.  </w:t>
            </w:r>
          </w:p>
          <w:p w14:paraId="75A871F6" w14:textId="50FEE1BA" w:rsidR="007A39C2" w:rsidRPr="00BA316C" w:rsidRDefault="00BA316C" w:rsidP="00BA316C">
            <w:pPr>
              <w:pStyle w:val="TableText"/>
              <w:spacing w:before="240" w:after="240" w:line="276" w:lineRule="auto"/>
              <w:ind w:left="720" w:hanging="720"/>
              <w:rPr>
                <w:sz w:val="22"/>
              </w:rPr>
            </w:pPr>
            <w:r>
              <w:rPr>
                <w:sz w:val="22"/>
              </w:rPr>
              <w:t>3.1.12</w:t>
            </w:r>
            <w:r>
              <w:rPr>
                <w:sz w:val="22"/>
              </w:rPr>
              <w:tab/>
            </w:r>
            <w:r w:rsidR="00184A25" w:rsidRPr="00BA316C">
              <w:rPr>
                <w:sz w:val="22"/>
              </w:rPr>
              <w:t xml:space="preserve">There </w:t>
            </w:r>
            <w:r w:rsidR="00733859" w:rsidRPr="00BA316C">
              <w:rPr>
                <w:sz w:val="22"/>
              </w:rPr>
              <w:t>will be</w:t>
            </w:r>
            <w:r w:rsidR="00184A25" w:rsidRPr="00BA316C">
              <w:rPr>
                <w:sz w:val="22"/>
              </w:rPr>
              <w:t xml:space="preserve"> specific rules to ensure that interposed entities cannot be used to circumvent the loss ring-fencing rules.</w:t>
            </w:r>
            <w:r w:rsidR="00733859" w:rsidRPr="00BA316C">
              <w:rPr>
                <w:sz w:val="22"/>
              </w:rPr>
              <w:t xml:space="preserve">  </w:t>
            </w:r>
          </w:p>
          <w:p w14:paraId="27165F2A" w14:textId="5D8D0764" w:rsidR="00733859" w:rsidRPr="00BA316C" w:rsidRDefault="00BA316C" w:rsidP="00BA316C">
            <w:pPr>
              <w:pStyle w:val="TableText"/>
              <w:spacing w:before="240" w:after="240" w:line="276" w:lineRule="auto"/>
              <w:ind w:left="720" w:hanging="720"/>
              <w:rPr>
                <w:sz w:val="22"/>
              </w:rPr>
            </w:pPr>
            <w:r>
              <w:rPr>
                <w:sz w:val="22"/>
              </w:rPr>
              <w:t>3.1.13</w:t>
            </w:r>
            <w:r>
              <w:rPr>
                <w:sz w:val="22"/>
              </w:rPr>
              <w:tab/>
            </w:r>
            <w:r w:rsidR="00733859" w:rsidRPr="00BA316C">
              <w:rPr>
                <w:sz w:val="22"/>
              </w:rPr>
              <w:t>There should not be any specific rules for allocating a taxpayer’s interest expenditure as between ring-fenced residential property and other assets.</w:t>
            </w:r>
          </w:p>
          <w:p w14:paraId="5EB989F8" w14:textId="7BE6A84B" w:rsidR="00733859" w:rsidRPr="002B6750" w:rsidRDefault="002B6750" w:rsidP="002B6750">
            <w:pPr>
              <w:spacing w:before="360" w:line="276" w:lineRule="auto"/>
              <w:rPr>
                <w:rFonts w:cs="Arial"/>
                <w:b/>
                <w:szCs w:val="22"/>
                <w:lang w:eastAsia="en-AU"/>
              </w:rPr>
            </w:pPr>
            <w:r>
              <w:rPr>
                <w:rFonts w:cs="Arial"/>
                <w:b/>
              </w:rPr>
              <w:t xml:space="preserve">Option 3: </w:t>
            </w:r>
            <w:r w:rsidR="00733859" w:rsidRPr="002B6750">
              <w:rPr>
                <w:rFonts w:cs="Arial"/>
                <w:b/>
              </w:rPr>
              <w:t>Design options reflecting submissions receive</w:t>
            </w:r>
            <w:r>
              <w:rPr>
                <w:rFonts w:cs="Arial"/>
                <w:b/>
              </w:rPr>
              <w:t>d on the officials’ issues paper</w:t>
            </w:r>
          </w:p>
          <w:p w14:paraId="6C3360DB" w14:textId="77777777" w:rsidR="00733859" w:rsidRPr="007556AD" w:rsidRDefault="00733859" w:rsidP="00733859">
            <w:pPr>
              <w:pStyle w:val="TableText"/>
              <w:spacing w:before="240" w:after="240" w:line="276" w:lineRule="auto"/>
              <w:rPr>
                <w:rFonts w:cs="Arial"/>
                <w:b/>
                <w:i/>
                <w:sz w:val="22"/>
              </w:rPr>
            </w:pPr>
            <w:r w:rsidRPr="007556AD">
              <w:rPr>
                <w:rFonts w:cs="Arial"/>
                <w:b/>
                <w:i/>
                <w:sz w:val="22"/>
              </w:rPr>
              <w:t>Land within the scope of the proposed rules</w:t>
            </w:r>
          </w:p>
          <w:p w14:paraId="23C30EFB" w14:textId="074C3A8C" w:rsidR="00733859" w:rsidRPr="00BA316C" w:rsidRDefault="00BA316C" w:rsidP="00BA316C">
            <w:pPr>
              <w:pStyle w:val="TableText"/>
              <w:spacing w:before="240" w:after="240" w:line="276" w:lineRule="auto"/>
              <w:ind w:left="720" w:hanging="720"/>
              <w:rPr>
                <w:sz w:val="22"/>
              </w:rPr>
            </w:pPr>
            <w:r>
              <w:rPr>
                <w:sz w:val="22"/>
              </w:rPr>
              <w:t>3.1.14</w:t>
            </w:r>
            <w:r>
              <w:rPr>
                <w:sz w:val="22"/>
              </w:rPr>
              <w:tab/>
            </w:r>
            <w:r w:rsidR="00733859" w:rsidRPr="00BA316C">
              <w:rPr>
                <w:sz w:val="22"/>
              </w:rPr>
              <w:t xml:space="preserve">In addition to the design features in Option </w:t>
            </w:r>
            <w:r w:rsidR="006943B3" w:rsidRPr="00BA316C">
              <w:rPr>
                <w:sz w:val="22"/>
              </w:rPr>
              <w:t xml:space="preserve">2 </w:t>
            </w:r>
            <w:r w:rsidR="00733859" w:rsidRPr="00BA316C">
              <w:rPr>
                <w:sz w:val="22"/>
              </w:rPr>
              <w:t xml:space="preserve">for </w:t>
            </w:r>
            <w:r w:rsidR="00171C82" w:rsidRPr="00BA316C">
              <w:rPr>
                <w:sz w:val="22"/>
              </w:rPr>
              <w:t xml:space="preserve">property </w:t>
            </w:r>
            <w:r w:rsidR="00733859" w:rsidRPr="00BA316C">
              <w:rPr>
                <w:sz w:val="22"/>
              </w:rPr>
              <w:t xml:space="preserve">within the scope of the proposed rules, </w:t>
            </w:r>
            <w:r w:rsidR="00251175" w:rsidRPr="00BA316C">
              <w:rPr>
                <w:sz w:val="22"/>
              </w:rPr>
              <w:t>three</w:t>
            </w:r>
            <w:r w:rsidR="00733859" w:rsidRPr="00BA316C">
              <w:rPr>
                <w:sz w:val="22"/>
              </w:rPr>
              <w:t xml:space="preserve"> further exclusions are proposed.  </w:t>
            </w:r>
          </w:p>
          <w:p w14:paraId="582F6E3C" w14:textId="37C21A18" w:rsidR="00251175" w:rsidRPr="00BA316C" w:rsidRDefault="00BA316C" w:rsidP="00BA316C">
            <w:pPr>
              <w:pStyle w:val="TableText"/>
              <w:spacing w:before="240" w:after="240" w:line="276" w:lineRule="auto"/>
              <w:ind w:left="720" w:hanging="720"/>
              <w:rPr>
                <w:sz w:val="22"/>
              </w:rPr>
            </w:pPr>
            <w:r>
              <w:rPr>
                <w:sz w:val="22"/>
              </w:rPr>
              <w:t>3.1.15</w:t>
            </w:r>
            <w:r>
              <w:rPr>
                <w:sz w:val="22"/>
              </w:rPr>
              <w:tab/>
            </w:r>
            <w:r w:rsidR="00251175" w:rsidRPr="00BA316C">
              <w:rPr>
                <w:sz w:val="22"/>
              </w:rPr>
              <w:t xml:space="preserve">All land that will definitely be subject to tax on sale </w:t>
            </w:r>
            <w:r w:rsidR="000F6E41" w:rsidRPr="00BA316C">
              <w:rPr>
                <w:sz w:val="22"/>
              </w:rPr>
              <w:t>will</w:t>
            </w:r>
            <w:r w:rsidR="00251175" w:rsidRPr="00BA316C">
              <w:rPr>
                <w:sz w:val="22"/>
              </w:rPr>
              <w:t xml:space="preserve"> be excluded from these rules.</w:t>
            </w:r>
          </w:p>
          <w:p w14:paraId="5DC4D2C0" w14:textId="5E7AC03E" w:rsidR="00733859" w:rsidRPr="00BA316C" w:rsidRDefault="00BA316C" w:rsidP="00BA316C">
            <w:pPr>
              <w:pStyle w:val="TableText"/>
              <w:spacing w:before="240" w:after="240" w:line="276" w:lineRule="auto"/>
              <w:ind w:left="720" w:hanging="720"/>
              <w:rPr>
                <w:sz w:val="22"/>
              </w:rPr>
            </w:pPr>
            <w:r>
              <w:rPr>
                <w:sz w:val="22"/>
              </w:rPr>
              <w:t>3.1.16</w:t>
            </w:r>
            <w:r>
              <w:rPr>
                <w:sz w:val="22"/>
              </w:rPr>
              <w:tab/>
            </w:r>
            <w:r w:rsidR="00733859" w:rsidRPr="00BA316C">
              <w:rPr>
                <w:sz w:val="22"/>
              </w:rPr>
              <w:t xml:space="preserve">The rules will not apply to widely-held companies, because any residential land they hold </w:t>
            </w:r>
            <w:r w:rsidR="006943B3" w:rsidRPr="00BA316C">
              <w:rPr>
                <w:sz w:val="22"/>
              </w:rPr>
              <w:t xml:space="preserve">is assumed to </w:t>
            </w:r>
            <w:r w:rsidR="00733859" w:rsidRPr="00BA316C">
              <w:rPr>
                <w:sz w:val="22"/>
              </w:rPr>
              <w:t xml:space="preserve">be incidental to their business. </w:t>
            </w:r>
          </w:p>
          <w:p w14:paraId="0ACFD507" w14:textId="4AA4AAD5" w:rsidR="00733859" w:rsidRPr="00BA316C" w:rsidRDefault="00BA316C" w:rsidP="00BA316C">
            <w:pPr>
              <w:pStyle w:val="TableText"/>
              <w:spacing w:before="240" w:after="240" w:line="276" w:lineRule="auto"/>
              <w:ind w:left="720" w:hanging="720"/>
              <w:rPr>
                <w:sz w:val="22"/>
              </w:rPr>
            </w:pPr>
            <w:r>
              <w:rPr>
                <w:sz w:val="22"/>
              </w:rPr>
              <w:t>3.1.17</w:t>
            </w:r>
            <w:r>
              <w:rPr>
                <w:sz w:val="22"/>
              </w:rPr>
              <w:tab/>
            </w:r>
            <w:r w:rsidR="00733859" w:rsidRPr="00BA316C">
              <w:rPr>
                <w:sz w:val="22"/>
              </w:rPr>
              <w:t xml:space="preserve">The rules also will not apply to accommodation provided to employees or other workers where it is necessary to provide that accommodation due to the nature or remoteness of the business.  </w:t>
            </w:r>
          </w:p>
          <w:p w14:paraId="622C291C" w14:textId="1DC3E8D5" w:rsidR="00733859" w:rsidRPr="00733859" w:rsidRDefault="00733859" w:rsidP="00733859">
            <w:pPr>
              <w:spacing w:before="120" w:line="276" w:lineRule="auto"/>
              <w:rPr>
                <w:b/>
                <w:i/>
              </w:rPr>
            </w:pPr>
            <w:r w:rsidRPr="00733859">
              <w:rPr>
                <w:b/>
                <w:i/>
              </w:rPr>
              <w:t>Level at which the loss ring-fencing rules should apply (ie, at the individual  property level or across a portfolio)</w:t>
            </w:r>
          </w:p>
          <w:p w14:paraId="53320085" w14:textId="5CD6F272" w:rsidR="00733859" w:rsidRPr="00BA316C" w:rsidRDefault="00BA316C" w:rsidP="00BA316C">
            <w:pPr>
              <w:pStyle w:val="TableText"/>
              <w:spacing w:before="240" w:after="240" w:line="276" w:lineRule="auto"/>
              <w:ind w:left="720" w:hanging="720"/>
              <w:rPr>
                <w:sz w:val="22"/>
              </w:rPr>
            </w:pPr>
            <w:r>
              <w:rPr>
                <w:sz w:val="22"/>
              </w:rPr>
              <w:t>3.1.18</w:t>
            </w:r>
            <w:r>
              <w:rPr>
                <w:sz w:val="22"/>
              </w:rPr>
              <w:tab/>
            </w:r>
            <w:r w:rsidR="00733859" w:rsidRPr="00BA316C">
              <w:rPr>
                <w:sz w:val="22"/>
              </w:rPr>
              <w:t>While the rules will generally apply on a portfolio basis, taxpayers will also be able to elect to apply the rules on a property-by-property basis if they wish, so if a property is taxed on sale any remaining losses for that property can be released</w:t>
            </w:r>
            <w:r w:rsidR="006943B3" w:rsidRPr="00BA316C">
              <w:rPr>
                <w:sz w:val="22"/>
              </w:rPr>
              <w:t xml:space="preserve"> and used to offset against other income</w:t>
            </w:r>
            <w:r w:rsidR="00733859" w:rsidRPr="00BA316C">
              <w:rPr>
                <w:sz w:val="22"/>
              </w:rPr>
              <w:t xml:space="preserve">. </w:t>
            </w:r>
            <w:r w:rsidR="003510E0" w:rsidRPr="00BA316C">
              <w:rPr>
                <w:sz w:val="22"/>
              </w:rPr>
              <w:t xml:space="preserve"> If such an election is not made, then the rules will continue to apply on a portfolio basis. </w:t>
            </w:r>
          </w:p>
          <w:p w14:paraId="5BF05534" w14:textId="77777777" w:rsidR="00251175" w:rsidRDefault="00251175" w:rsidP="00733859">
            <w:pPr>
              <w:pStyle w:val="TableText"/>
              <w:spacing w:before="240" w:after="240" w:line="276" w:lineRule="auto"/>
              <w:rPr>
                <w:rFonts w:cs="Arial"/>
                <w:b/>
                <w:i/>
                <w:sz w:val="22"/>
              </w:rPr>
            </w:pPr>
          </w:p>
          <w:p w14:paraId="172BE7B0" w14:textId="4033EFA4" w:rsidR="00733859" w:rsidRPr="002B6750" w:rsidRDefault="00733859" w:rsidP="00733859">
            <w:pPr>
              <w:pStyle w:val="TableText"/>
              <w:spacing w:before="240" w:after="240" w:line="276" w:lineRule="auto"/>
              <w:rPr>
                <w:rFonts w:cs="Arial"/>
                <w:sz w:val="22"/>
              </w:rPr>
            </w:pPr>
            <w:r w:rsidRPr="002B6750">
              <w:rPr>
                <w:rFonts w:cs="Arial"/>
                <w:b/>
                <w:i/>
                <w:sz w:val="22"/>
              </w:rPr>
              <w:lastRenderedPageBreak/>
              <w:t>Using ring-fenced losses</w:t>
            </w:r>
          </w:p>
          <w:p w14:paraId="237D455D" w14:textId="263EB008" w:rsidR="00733859" w:rsidRPr="00BA316C" w:rsidRDefault="00BA316C" w:rsidP="00BA316C">
            <w:pPr>
              <w:pStyle w:val="TableText"/>
              <w:spacing w:before="240" w:after="240" w:line="276" w:lineRule="auto"/>
              <w:ind w:left="720" w:hanging="720"/>
              <w:rPr>
                <w:sz w:val="22"/>
              </w:rPr>
            </w:pPr>
            <w:r>
              <w:rPr>
                <w:sz w:val="22"/>
              </w:rPr>
              <w:t>3.1.19</w:t>
            </w:r>
            <w:r>
              <w:rPr>
                <w:sz w:val="22"/>
              </w:rPr>
              <w:tab/>
            </w:r>
            <w:r w:rsidR="003657C2" w:rsidRPr="00BA316C">
              <w:rPr>
                <w:sz w:val="22"/>
              </w:rPr>
              <w:t>Ring-fenced losses should be able to be transferred between companies in a wholly-owned group</w:t>
            </w:r>
            <w:r w:rsidR="006943B3" w:rsidRPr="00BA316C">
              <w:rPr>
                <w:sz w:val="22"/>
              </w:rPr>
              <w:t xml:space="preserve"> with rental income</w:t>
            </w:r>
            <w:r w:rsidR="003657C2" w:rsidRPr="00BA316C">
              <w:rPr>
                <w:sz w:val="22"/>
              </w:rPr>
              <w:t xml:space="preserve">.  It is not proposed that ring-fenced losses should be able to be carried back. </w:t>
            </w:r>
          </w:p>
          <w:p w14:paraId="593EF082" w14:textId="346EFD5A" w:rsidR="003657C2" w:rsidRPr="00BA316C" w:rsidRDefault="00BA316C" w:rsidP="00BA316C">
            <w:pPr>
              <w:pStyle w:val="TableText"/>
              <w:spacing w:before="240" w:after="240" w:line="276" w:lineRule="auto"/>
              <w:ind w:left="720" w:hanging="720"/>
              <w:rPr>
                <w:sz w:val="22"/>
              </w:rPr>
            </w:pPr>
            <w:r>
              <w:rPr>
                <w:sz w:val="22"/>
              </w:rPr>
              <w:t>3.1.20</w:t>
            </w:r>
            <w:r>
              <w:rPr>
                <w:sz w:val="22"/>
              </w:rPr>
              <w:tab/>
            </w:r>
            <w:r w:rsidR="003657C2" w:rsidRPr="00BA316C">
              <w:rPr>
                <w:sz w:val="22"/>
              </w:rPr>
              <w:t xml:space="preserve">The usual shareholder continuity rules which apply to the use of losses by companies under the general corporate tax rules will continue to apply to ring-fenced losses.  Losses should not be released and available to offset against other income if shareholder continuity is breached. </w:t>
            </w:r>
          </w:p>
          <w:p w14:paraId="747FEA6F" w14:textId="77777777" w:rsidR="00564156" w:rsidRDefault="003657C2" w:rsidP="00E3519B">
            <w:pPr>
              <w:pStyle w:val="TableText"/>
              <w:spacing w:before="240" w:after="240" w:line="276" w:lineRule="auto"/>
              <w:rPr>
                <w:b/>
                <w:i/>
                <w:sz w:val="22"/>
              </w:rPr>
            </w:pPr>
            <w:r w:rsidRPr="003657C2">
              <w:rPr>
                <w:b/>
                <w:i/>
                <w:sz w:val="22"/>
              </w:rPr>
              <w:t>Whether ring-fenced losses should be released on the sale of a residential property</w:t>
            </w:r>
          </w:p>
          <w:p w14:paraId="59AB9A95" w14:textId="44668072" w:rsidR="003657C2" w:rsidRPr="00BA316C" w:rsidRDefault="008C7BB4" w:rsidP="00BA316C">
            <w:pPr>
              <w:pStyle w:val="TableText"/>
              <w:spacing w:before="240" w:after="240" w:line="276" w:lineRule="auto"/>
              <w:ind w:left="720" w:hanging="720"/>
              <w:rPr>
                <w:sz w:val="22"/>
              </w:rPr>
            </w:pPr>
            <w:r>
              <w:rPr>
                <w:sz w:val="22"/>
              </w:rPr>
              <w:t>3.1.</w:t>
            </w:r>
            <w:r w:rsidR="00BA316C">
              <w:rPr>
                <w:sz w:val="22"/>
              </w:rPr>
              <w:t>2</w:t>
            </w:r>
            <w:r>
              <w:rPr>
                <w:sz w:val="22"/>
              </w:rPr>
              <w:t>1</w:t>
            </w:r>
            <w:r w:rsidR="00BA316C">
              <w:rPr>
                <w:sz w:val="22"/>
              </w:rPr>
              <w:tab/>
            </w:r>
            <w:r w:rsidR="003657C2" w:rsidRPr="00BA316C">
              <w:rPr>
                <w:sz w:val="22"/>
              </w:rPr>
              <w:t xml:space="preserve">There is no change from Option </w:t>
            </w:r>
            <w:r w:rsidR="00E709E0" w:rsidRPr="00BA316C">
              <w:rPr>
                <w:sz w:val="22"/>
              </w:rPr>
              <w:t xml:space="preserve">2 </w:t>
            </w:r>
            <w:r w:rsidR="003657C2" w:rsidRPr="00BA316C">
              <w:rPr>
                <w:sz w:val="22"/>
              </w:rPr>
              <w:t xml:space="preserve">for this design feature.  Ring-fenced losses are able to be used on a sale of residential land that gives rise to taxable income, but only to the extent those losses reduce the taxable income to nil.  </w:t>
            </w:r>
          </w:p>
          <w:p w14:paraId="2E295DDD" w14:textId="77777777" w:rsidR="003657C2" w:rsidRPr="00733859" w:rsidRDefault="003657C2" w:rsidP="003657C2">
            <w:pPr>
              <w:spacing w:before="360" w:line="276" w:lineRule="auto"/>
              <w:rPr>
                <w:rFonts w:cs="Arial"/>
                <w:b/>
                <w:i/>
                <w:szCs w:val="22"/>
                <w:lang w:eastAsia="en-AU"/>
              </w:rPr>
            </w:pPr>
            <w:r w:rsidRPr="00733859">
              <w:rPr>
                <w:rFonts w:cs="Arial"/>
                <w:b/>
                <w:i/>
                <w:szCs w:val="22"/>
                <w:lang w:eastAsia="en-AU"/>
              </w:rPr>
              <w:t>What</w:t>
            </w:r>
            <w:r w:rsidRPr="00733859">
              <w:rPr>
                <w:rFonts w:cs="Arial"/>
                <w:b/>
                <w:i/>
              </w:rPr>
              <w:t xml:space="preserve"> </w:t>
            </w:r>
            <w:r w:rsidRPr="00733859">
              <w:rPr>
                <w:rFonts w:cs="Arial"/>
                <w:b/>
                <w:i/>
                <w:szCs w:val="22"/>
                <w:lang w:eastAsia="en-AU"/>
              </w:rPr>
              <w:t>rules</w:t>
            </w:r>
            <w:r w:rsidRPr="00733859">
              <w:rPr>
                <w:rFonts w:cs="Arial"/>
                <w:b/>
                <w:i/>
              </w:rPr>
              <w:t xml:space="preserve"> should be put in place</w:t>
            </w:r>
            <w:r w:rsidRPr="00733859">
              <w:rPr>
                <w:rFonts w:cs="Arial"/>
                <w:b/>
                <w:i/>
                <w:szCs w:val="22"/>
              </w:rPr>
              <w:t xml:space="preserve"> to minimise opportunities to structure around the loss ring-fencing rules</w:t>
            </w:r>
          </w:p>
          <w:p w14:paraId="284E0B09" w14:textId="267527C6" w:rsidR="003657C2" w:rsidRPr="002B6750" w:rsidRDefault="00BA316C" w:rsidP="00BA316C">
            <w:pPr>
              <w:pStyle w:val="TableText"/>
              <w:spacing w:before="240" w:after="240" w:line="276" w:lineRule="auto"/>
              <w:ind w:left="720" w:hanging="720"/>
              <w:rPr>
                <w:rFonts w:cs="Arial"/>
                <w:sz w:val="22"/>
              </w:rPr>
            </w:pPr>
            <w:r>
              <w:rPr>
                <w:sz w:val="22"/>
              </w:rPr>
              <w:t>3.1.22</w:t>
            </w:r>
            <w:r>
              <w:rPr>
                <w:sz w:val="22"/>
              </w:rPr>
              <w:tab/>
            </w:r>
            <w:r w:rsidR="003657C2" w:rsidRPr="00BA316C">
              <w:rPr>
                <w:sz w:val="22"/>
              </w:rPr>
              <w:t xml:space="preserve">There is no change from Option </w:t>
            </w:r>
            <w:r w:rsidR="00E709E0" w:rsidRPr="00BA316C">
              <w:rPr>
                <w:sz w:val="22"/>
              </w:rPr>
              <w:t xml:space="preserve">2 </w:t>
            </w:r>
            <w:r w:rsidR="003657C2" w:rsidRPr="00BA316C">
              <w:rPr>
                <w:sz w:val="22"/>
              </w:rPr>
              <w:t>for this design feature.  There will be specific rules to ensure that interposed entities cannot be used to circumvent the loss ring-fencing rules, but no specific interest allocation rules.</w:t>
            </w:r>
            <w:r w:rsidR="003657C2">
              <w:rPr>
                <w:rFonts w:cs="Arial"/>
                <w:sz w:val="22"/>
              </w:rPr>
              <w:t xml:space="preserve">  </w:t>
            </w:r>
            <w:r w:rsidR="005D178F" w:rsidRPr="002B6750">
              <w:rPr>
                <w:rFonts w:cs="Arial"/>
                <w:sz w:val="22"/>
              </w:rPr>
              <w:t xml:space="preserve"> </w:t>
            </w:r>
          </w:p>
        </w:tc>
      </w:tr>
    </w:tbl>
    <w:p w14:paraId="41A6E4C3" w14:textId="77777777"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9C4129" w:rsidRPr="009C4129" w14:paraId="16CEAF01" w14:textId="77777777" w:rsidTr="00384E9B">
        <w:trPr>
          <w:trHeight w:val="510"/>
        </w:trPr>
        <w:tc>
          <w:tcPr>
            <w:tcW w:w="5000" w:type="pct"/>
            <w:shd w:val="clear" w:color="auto" w:fill="99CDDD"/>
          </w:tcPr>
          <w:p w14:paraId="3AA2E8ED" w14:textId="77777777"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3.2 What criteria, in addition to monetary costs and benefits, have been used to assess the likely impacts of the options under consideration?</w:t>
            </w:r>
          </w:p>
        </w:tc>
      </w:tr>
      <w:tr w:rsidR="009C4129" w:rsidRPr="009C4129" w14:paraId="1921F42C" w14:textId="77777777" w:rsidTr="009D5468">
        <w:trPr>
          <w:trHeight w:val="742"/>
        </w:trPr>
        <w:tc>
          <w:tcPr>
            <w:tcW w:w="5000" w:type="pct"/>
            <w:shd w:val="clear" w:color="auto" w:fill="FFFFFF"/>
          </w:tcPr>
          <w:p w14:paraId="17F84D42" w14:textId="0F11A355" w:rsidR="007D5EE8" w:rsidRPr="007D5EE8" w:rsidRDefault="009D5468" w:rsidP="007D5EE8">
            <w:pPr>
              <w:pStyle w:val="TableText"/>
              <w:numPr>
                <w:ilvl w:val="0"/>
                <w:numId w:val="13"/>
              </w:numPr>
              <w:spacing w:before="240" w:after="240" w:line="276" w:lineRule="auto"/>
              <w:ind w:left="709" w:hanging="709"/>
              <w:rPr>
                <w:rFonts w:cs="Arial"/>
                <w:sz w:val="22"/>
              </w:rPr>
            </w:pPr>
            <w:r w:rsidRPr="00F33D90">
              <w:rPr>
                <w:sz w:val="22"/>
              </w:rPr>
              <w:t>The</w:t>
            </w:r>
            <w:r w:rsidRPr="009D5468">
              <w:rPr>
                <w:rFonts w:cs="Arial"/>
                <w:sz w:val="22"/>
              </w:rPr>
              <w:t xml:space="preserve"> </w:t>
            </w:r>
            <w:r w:rsidRPr="00C12650">
              <w:rPr>
                <w:sz w:val="22"/>
              </w:rPr>
              <w:t>generic</w:t>
            </w:r>
            <w:r w:rsidRPr="009D5468">
              <w:rPr>
                <w:rFonts w:cs="Arial"/>
                <w:sz w:val="22"/>
              </w:rPr>
              <w:t xml:space="preserve"> tax policy process (GTPP) includes a framework for assessing key policy elements and trade-offs of proposals.  This framework is consistent with the Government’s vision for the tax and social policy system, and is captured by the following criteria:</w:t>
            </w:r>
          </w:p>
          <w:p w14:paraId="52D5C5D4" w14:textId="305255C6" w:rsidR="00A930AF" w:rsidRPr="009D5468" w:rsidRDefault="009D5468" w:rsidP="007D5EE8">
            <w:pPr>
              <w:pStyle w:val="ListParagraph"/>
              <w:numPr>
                <w:ilvl w:val="0"/>
                <w:numId w:val="5"/>
              </w:numPr>
              <w:spacing w:before="120" w:after="120" w:line="276" w:lineRule="auto"/>
              <w:ind w:left="1134" w:hanging="425"/>
              <w:contextualSpacing w:val="0"/>
              <w:rPr>
                <w:rFonts w:cs="Arial"/>
                <w:szCs w:val="22"/>
                <w:lang w:eastAsia="en-AU"/>
              </w:rPr>
            </w:pPr>
            <w:r w:rsidRPr="009D5468">
              <w:rPr>
                <w:i/>
                <w:szCs w:val="22"/>
              </w:rPr>
              <w:t>Efficiency and neutrality</w:t>
            </w:r>
            <w:r w:rsidRPr="009D5468">
              <w:rPr>
                <w:szCs w:val="22"/>
              </w:rPr>
              <w:t xml:space="preserve"> – the tax system should bias economic decisions as little as possible;</w:t>
            </w:r>
          </w:p>
          <w:p w14:paraId="63CDE5FD" w14:textId="0829D4CC" w:rsidR="00C40A1C" w:rsidRPr="009D5468" w:rsidRDefault="009D5468" w:rsidP="007D5EE8">
            <w:pPr>
              <w:pStyle w:val="ListParagraph"/>
              <w:numPr>
                <w:ilvl w:val="0"/>
                <w:numId w:val="5"/>
              </w:numPr>
              <w:spacing w:before="120" w:after="120" w:line="276" w:lineRule="auto"/>
              <w:ind w:left="1134" w:hanging="425"/>
              <w:contextualSpacing w:val="0"/>
              <w:rPr>
                <w:rFonts w:cs="Arial"/>
                <w:szCs w:val="22"/>
                <w:lang w:eastAsia="en-AU"/>
              </w:rPr>
            </w:pPr>
            <w:r w:rsidRPr="009D5468">
              <w:rPr>
                <w:i/>
                <w:szCs w:val="22"/>
              </w:rPr>
              <w:t>Fairness and equity</w:t>
            </w:r>
            <w:r w:rsidRPr="009D5468">
              <w:rPr>
                <w:szCs w:val="22"/>
              </w:rPr>
              <w:t xml:space="preserve"> – similar taxpayers in similar circumstances should be treated in a similar way;</w:t>
            </w:r>
          </w:p>
          <w:p w14:paraId="6CFD1544" w14:textId="0EBD86B7" w:rsidR="00C40A1C" w:rsidRPr="009D5468" w:rsidRDefault="009D5468" w:rsidP="007D5EE8">
            <w:pPr>
              <w:pStyle w:val="ListParagraph"/>
              <w:numPr>
                <w:ilvl w:val="0"/>
                <w:numId w:val="5"/>
              </w:numPr>
              <w:spacing w:before="120" w:after="120" w:line="276" w:lineRule="auto"/>
              <w:ind w:left="1134" w:hanging="425"/>
              <w:contextualSpacing w:val="0"/>
              <w:rPr>
                <w:rFonts w:cs="Arial"/>
                <w:szCs w:val="22"/>
                <w:lang w:eastAsia="en-AU"/>
              </w:rPr>
            </w:pPr>
            <w:r w:rsidRPr="009D5468">
              <w:rPr>
                <w:i/>
                <w:szCs w:val="22"/>
              </w:rPr>
              <w:t>Efficiency of compliance</w:t>
            </w:r>
            <w:r w:rsidRPr="009D5468">
              <w:rPr>
                <w:szCs w:val="22"/>
              </w:rPr>
              <w:t xml:space="preserve"> – compliance costs for taxpayers should be minimised as far as possible;</w:t>
            </w:r>
            <w:r w:rsidR="00A930AF" w:rsidRPr="009D5468">
              <w:rPr>
                <w:rFonts w:cs="Arial"/>
                <w:szCs w:val="22"/>
                <w:lang w:eastAsia="en-AU"/>
              </w:rPr>
              <w:t xml:space="preserve"> and</w:t>
            </w:r>
          </w:p>
          <w:p w14:paraId="6BF2DF7D" w14:textId="77777777" w:rsidR="0062657E" w:rsidRPr="009D5468" w:rsidRDefault="009D5468" w:rsidP="007D5EE8">
            <w:pPr>
              <w:pStyle w:val="ListParagraph"/>
              <w:numPr>
                <w:ilvl w:val="0"/>
                <w:numId w:val="5"/>
              </w:numPr>
              <w:spacing w:before="120" w:after="120" w:line="276" w:lineRule="auto"/>
              <w:ind w:left="1134" w:hanging="425"/>
              <w:contextualSpacing w:val="0"/>
              <w:rPr>
                <w:rFonts w:cs="Arial"/>
                <w:szCs w:val="22"/>
                <w:lang w:eastAsia="en-AU"/>
              </w:rPr>
            </w:pPr>
            <w:r w:rsidRPr="009D5468">
              <w:rPr>
                <w:i/>
                <w:szCs w:val="22"/>
              </w:rPr>
              <w:t>Efficiency of administration</w:t>
            </w:r>
            <w:r w:rsidRPr="009D5468">
              <w:rPr>
                <w:szCs w:val="22"/>
              </w:rPr>
              <w:t xml:space="preserve"> – administrative costs for Inland Revenue should be minimised as far as possible.</w:t>
            </w:r>
          </w:p>
          <w:p w14:paraId="41634A30" w14:textId="4EFE2DF4" w:rsidR="009D5468" w:rsidRPr="007D5EE8" w:rsidRDefault="009D5468" w:rsidP="007D5EE8">
            <w:pPr>
              <w:pStyle w:val="TableText"/>
              <w:numPr>
                <w:ilvl w:val="0"/>
                <w:numId w:val="13"/>
              </w:numPr>
              <w:spacing w:before="240" w:after="240" w:line="276" w:lineRule="auto"/>
              <w:ind w:left="709" w:hanging="709"/>
              <w:rPr>
                <w:rFonts w:cs="Arial"/>
                <w:sz w:val="22"/>
              </w:rPr>
            </w:pPr>
            <w:r w:rsidRPr="007D5EE8">
              <w:rPr>
                <w:sz w:val="22"/>
              </w:rPr>
              <w:t>Efficiency</w:t>
            </w:r>
            <w:r w:rsidRPr="007D5EE8">
              <w:rPr>
                <w:rFonts w:cs="Arial"/>
                <w:sz w:val="22"/>
              </w:rPr>
              <w:t xml:space="preserve"> and fairness are the most important criteria.  It is generally worth trading-off increased compliance costs or administration costs for gains in these two criteria.</w:t>
            </w:r>
          </w:p>
        </w:tc>
      </w:tr>
    </w:tbl>
    <w:p w14:paraId="46A10291" w14:textId="77777777" w:rsidR="0062657E" w:rsidRPr="009C4129" w:rsidRDefault="0062657E" w:rsidP="00C17661">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C4129" w:rsidRPr="009C4129" w14:paraId="6A2828A4" w14:textId="77777777" w:rsidTr="004A11FC">
        <w:trPr>
          <w:trHeight w:val="124"/>
        </w:trPr>
        <w:tc>
          <w:tcPr>
            <w:tcW w:w="5000" w:type="pct"/>
            <w:shd w:val="clear" w:color="auto" w:fill="99CDDD"/>
          </w:tcPr>
          <w:p w14:paraId="29EC5290" w14:textId="77777777" w:rsidR="0062657E" w:rsidRPr="009C4129" w:rsidRDefault="0062657E" w:rsidP="00DF2E7B">
            <w:pPr>
              <w:spacing w:before="60" w:after="60" w:line="240" w:lineRule="auto"/>
              <w:rPr>
                <w:rFonts w:cs="Arial"/>
                <w:b/>
                <w:szCs w:val="22"/>
                <w:lang w:eastAsia="en-AU"/>
              </w:rPr>
            </w:pPr>
            <w:r w:rsidRPr="009C4129">
              <w:rPr>
                <w:rFonts w:cs="Arial"/>
                <w:b/>
                <w:szCs w:val="22"/>
                <w:lang w:eastAsia="en-AU"/>
              </w:rPr>
              <w:t>3.3   What other</w:t>
            </w:r>
            <w:r w:rsidRPr="004A11FC">
              <w:rPr>
                <w:rFonts w:cs="Arial"/>
                <w:b/>
                <w:szCs w:val="22"/>
                <w:lang w:eastAsia="en-AU"/>
              </w:rPr>
              <w:t xml:space="preserve"> </w:t>
            </w:r>
            <w:r w:rsidRPr="009C4129">
              <w:rPr>
                <w:rFonts w:cs="Arial"/>
                <w:b/>
                <w:szCs w:val="22"/>
                <w:lang w:eastAsia="en-AU"/>
              </w:rPr>
              <w:t>options have been ruled out of scope, or not considered, and why?</w:t>
            </w:r>
          </w:p>
        </w:tc>
      </w:tr>
      <w:tr w:rsidR="009C4129" w:rsidRPr="009C4129" w14:paraId="71DBD414" w14:textId="77777777" w:rsidTr="00DC36FB">
        <w:trPr>
          <w:trHeight w:val="2740"/>
        </w:trPr>
        <w:tc>
          <w:tcPr>
            <w:tcW w:w="5000" w:type="pct"/>
            <w:shd w:val="clear" w:color="auto" w:fill="FFFFFF"/>
          </w:tcPr>
          <w:p w14:paraId="212AFB3D" w14:textId="7FD13E88" w:rsidR="0062657E" w:rsidRDefault="00DC36FB" w:rsidP="007D5EE8">
            <w:pPr>
              <w:pStyle w:val="TableText"/>
              <w:numPr>
                <w:ilvl w:val="0"/>
                <w:numId w:val="14"/>
              </w:numPr>
              <w:spacing w:before="240" w:after="240" w:line="276" w:lineRule="auto"/>
              <w:ind w:left="709" w:hanging="709"/>
              <w:rPr>
                <w:rFonts w:cs="Arial"/>
                <w:sz w:val="22"/>
              </w:rPr>
            </w:pPr>
            <w:r>
              <w:rPr>
                <w:rFonts w:cs="Arial"/>
                <w:sz w:val="22"/>
              </w:rPr>
              <w:lastRenderedPageBreak/>
              <w:t xml:space="preserve">As noted at </w:t>
            </w:r>
            <w:r w:rsidR="002B60A9">
              <w:rPr>
                <w:rFonts w:cs="Arial"/>
                <w:sz w:val="22"/>
              </w:rPr>
              <w:t xml:space="preserve">section </w:t>
            </w:r>
            <w:r>
              <w:rPr>
                <w:rFonts w:cs="Arial"/>
                <w:sz w:val="22"/>
              </w:rPr>
              <w:t>2.4, b</w:t>
            </w:r>
            <w:r w:rsidRPr="00E6631F">
              <w:rPr>
                <w:rFonts w:cs="Arial"/>
                <w:sz w:val="22"/>
              </w:rPr>
              <w:t xml:space="preserve">ecause consideration of a capital gains tax is within the purview of the TWG, it is not considered here as a possible option for addressing the concern </w:t>
            </w:r>
            <w:r w:rsidR="00171C82">
              <w:rPr>
                <w:rFonts w:cs="Arial"/>
                <w:sz w:val="22"/>
              </w:rPr>
              <w:t>that</w:t>
            </w:r>
            <w:r w:rsidR="00171C82" w:rsidRPr="00E6631F">
              <w:rPr>
                <w:rFonts w:cs="Arial"/>
                <w:sz w:val="22"/>
              </w:rPr>
              <w:t xml:space="preserve"> </w:t>
            </w:r>
            <w:r w:rsidRPr="00E6631F">
              <w:rPr>
                <w:rFonts w:cs="Arial"/>
                <w:sz w:val="22"/>
              </w:rPr>
              <w:t xml:space="preserve">investors </w:t>
            </w:r>
            <w:r w:rsidR="00421D7F">
              <w:rPr>
                <w:sz w:val="22"/>
              </w:rPr>
              <w:t>who buy</w:t>
            </w:r>
            <w:r w:rsidR="00421D7F" w:rsidRPr="008458C1">
              <w:rPr>
                <w:sz w:val="22"/>
              </w:rPr>
              <w:t xml:space="preserve"> property in anticipation of capital gain</w:t>
            </w:r>
            <w:r w:rsidR="00B27E59">
              <w:rPr>
                <w:sz w:val="22"/>
              </w:rPr>
              <w:t xml:space="preserve">, and who are able to deduct expenses, </w:t>
            </w:r>
            <w:r w:rsidR="00171C82" w:rsidRPr="00E6631F">
              <w:rPr>
                <w:rFonts w:cs="Arial"/>
                <w:sz w:val="22"/>
              </w:rPr>
              <w:t>hav</w:t>
            </w:r>
            <w:r w:rsidR="00171C82">
              <w:rPr>
                <w:rFonts w:cs="Arial"/>
                <w:sz w:val="22"/>
              </w:rPr>
              <w:t>e</w:t>
            </w:r>
            <w:r w:rsidR="00171C82" w:rsidRPr="00E6631F">
              <w:rPr>
                <w:rFonts w:cs="Arial"/>
                <w:sz w:val="22"/>
              </w:rPr>
              <w:t xml:space="preserve"> </w:t>
            </w:r>
            <w:r w:rsidRPr="00E6631F">
              <w:rPr>
                <w:rFonts w:cs="Arial"/>
                <w:sz w:val="22"/>
              </w:rPr>
              <w:t>an unfair advantage over owner-occupiers</w:t>
            </w:r>
            <w:r w:rsidR="00E709E0">
              <w:rPr>
                <w:rFonts w:cs="Arial"/>
                <w:sz w:val="22"/>
              </w:rPr>
              <w:t xml:space="preserve"> </w:t>
            </w:r>
            <w:r w:rsidRPr="00E6631F">
              <w:rPr>
                <w:rFonts w:cs="Arial"/>
                <w:sz w:val="22"/>
              </w:rPr>
              <w:t>– which is that not all of the economic income generated from rental housing is subject to tax</w:t>
            </w:r>
            <w:r w:rsidR="00817EBB">
              <w:rPr>
                <w:rFonts w:cs="Arial"/>
                <w:sz w:val="22"/>
              </w:rPr>
              <w:t xml:space="preserve">. </w:t>
            </w:r>
          </w:p>
          <w:p w14:paraId="34A67B7A" w14:textId="0B1722C4" w:rsidR="00817EBB" w:rsidRPr="005037E6" w:rsidRDefault="00817EBB" w:rsidP="005037E6">
            <w:pPr>
              <w:pStyle w:val="TableText"/>
              <w:numPr>
                <w:ilvl w:val="0"/>
                <w:numId w:val="14"/>
              </w:numPr>
              <w:spacing w:before="240" w:after="240" w:line="276" w:lineRule="auto"/>
              <w:ind w:left="709" w:hanging="709"/>
              <w:rPr>
                <w:rFonts w:cs="Arial"/>
                <w:sz w:val="22"/>
              </w:rPr>
            </w:pPr>
            <w:r>
              <w:rPr>
                <w:rFonts w:cs="Arial"/>
                <w:sz w:val="22"/>
              </w:rPr>
              <w:t>Therefore, o</w:t>
            </w:r>
            <w:r w:rsidR="00DC36FB" w:rsidRPr="00DC36FB">
              <w:rPr>
                <w:rFonts w:cs="Arial"/>
                <w:sz w:val="22"/>
              </w:rPr>
              <w:t xml:space="preserve">ptions </w:t>
            </w:r>
            <w:r>
              <w:rPr>
                <w:rFonts w:cs="Arial"/>
                <w:sz w:val="22"/>
              </w:rPr>
              <w:t xml:space="preserve">considered are </w:t>
            </w:r>
            <w:r w:rsidR="00DC36FB" w:rsidRPr="00DC36FB">
              <w:rPr>
                <w:rFonts w:cs="Arial"/>
                <w:sz w:val="22"/>
              </w:rPr>
              <w:t xml:space="preserve">focussed on key design settings for </w:t>
            </w:r>
            <w:r>
              <w:rPr>
                <w:rFonts w:cs="Arial"/>
                <w:sz w:val="22"/>
              </w:rPr>
              <w:t>loss ring-fencing</w:t>
            </w:r>
            <w:r w:rsidR="00DC36FB" w:rsidRPr="00DC36FB">
              <w:rPr>
                <w:rFonts w:cs="Arial"/>
                <w:sz w:val="22"/>
              </w:rPr>
              <w:t>, rather than consideration of alternatives to loss ring-fencing.</w:t>
            </w:r>
          </w:p>
        </w:tc>
      </w:tr>
    </w:tbl>
    <w:p w14:paraId="0C34D013" w14:textId="77777777" w:rsidR="0062657E" w:rsidRPr="00A512E9" w:rsidRDefault="0062657E" w:rsidP="00A512E9">
      <w:pPr>
        <w:rPr>
          <w:lang w:eastAsia="en-AU"/>
        </w:rPr>
        <w:sectPr w:rsidR="0062657E" w:rsidRPr="00A512E9" w:rsidSect="00FA7EFC">
          <w:headerReference w:type="default" r:id="rId8"/>
          <w:footerReference w:type="default" r:id="rId9"/>
          <w:pgSz w:w="11906" w:h="16838"/>
          <w:pgMar w:top="1134" w:right="1418" w:bottom="992" w:left="1418" w:header="709" w:footer="709" w:gutter="0"/>
          <w:cols w:space="708"/>
          <w:docGrid w:linePitch="360"/>
        </w:sectPr>
      </w:pPr>
    </w:p>
    <w:p w14:paraId="1C4E712F"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4:  Impact Analysis</w:t>
      </w:r>
    </w:p>
    <w:p w14:paraId="6140A97B" w14:textId="32F6A054" w:rsidR="0049234F" w:rsidRPr="00DC36FB" w:rsidRDefault="009435C4" w:rsidP="00DC36FB">
      <w:pPr>
        <w:spacing w:after="0" w:line="276" w:lineRule="auto"/>
        <w:rPr>
          <w:rFonts w:cs="Arial"/>
          <w:i/>
          <w:szCs w:val="22"/>
        </w:rPr>
      </w:pPr>
      <w:r w:rsidRPr="009435C4">
        <w:rPr>
          <w:rFonts w:cs="Arial"/>
          <w:b/>
          <w:szCs w:val="22"/>
        </w:rPr>
        <w:t>Marginal impact: How does each of the options identified at section 3.1 compare with the counterfactual, under each of the criteria set out in section 3.2?</w:t>
      </w:r>
      <w:r w:rsidR="0049234F" w:rsidRPr="0049467D">
        <w:t xml:space="preserve"> </w:t>
      </w:r>
    </w:p>
    <w:p w14:paraId="08B2ACA1" w14:textId="77777777" w:rsidR="009435C4" w:rsidRDefault="009435C4" w:rsidP="0049234F">
      <w:pPr>
        <w:pStyle w:val="spac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4395"/>
        <w:gridCol w:w="5811"/>
      </w:tblGrid>
      <w:tr w:rsidR="00E709E0" w:rsidRPr="005910FD" w14:paraId="04B63C75" w14:textId="77777777" w:rsidTr="00905F97">
        <w:trPr>
          <w:trHeight w:val="717"/>
        </w:trPr>
        <w:tc>
          <w:tcPr>
            <w:tcW w:w="2802" w:type="dxa"/>
            <w:shd w:val="clear" w:color="auto" w:fill="99CDDD"/>
          </w:tcPr>
          <w:p w14:paraId="04252AA2" w14:textId="77777777" w:rsidR="00E709E0" w:rsidRPr="00384E9B" w:rsidRDefault="00E709E0" w:rsidP="000B797C">
            <w:pPr>
              <w:spacing w:before="60" w:after="60" w:line="276" w:lineRule="auto"/>
              <w:jc w:val="both"/>
              <w:rPr>
                <w:rFonts w:cs="Arial"/>
                <w:b/>
                <w:color w:val="FFFFFF"/>
                <w:sz w:val="20"/>
                <w:szCs w:val="24"/>
              </w:rPr>
            </w:pPr>
          </w:p>
        </w:tc>
        <w:tc>
          <w:tcPr>
            <w:tcW w:w="1275" w:type="dxa"/>
            <w:shd w:val="clear" w:color="auto" w:fill="99CDDD"/>
          </w:tcPr>
          <w:p w14:paraId="56DA7A32" w14:textId="6C0D21ED" w:rsidR="00E709E0" w:rsidRDefault="00E709E0" w:rsidP="00FA24D7">
            <w:pPr>
              <w:spacing w:before="60" w:after="0" w:line="240" w:lineRule="auto"/>
              <w:rPr>
                <w:rFonts w:cs="Arial"/>
                <w:b/>
                <w:color w:val="000000"/>
                <w:sz w:val="16"/>
                <w:szCs w:val="16"/>
              </w:rPr>
            </w:pPr>
            <w:r>
              <w:rPr>
                <w:rFonts w:cs="Arial"/>
                <w:b/>
                <w:color w:val="000000"/>
                <w:sz w:val="16"/>
                <w:szCs w:val="16"/>
              </w:rPr>
              <w:t>Option 1</w:t>
            </w:r>
          </w:p>
          <w:p w14:paraId="67247DB9" w14:textId="168EAF7A" w:rsidR="00E709E0" w:rsidRDefault="00E709E0" w:rsidP="00D7086D">
            <w:pPr>
              <w:spacing w:before="60" w:after="0" w:line="240" w:lineRule="auto"/>
              <w:rPr>
                <w:rFonts w:cs="Arial"/>
                <w:b/>
                <w:color w:val="000000"/>
                <w:sz w:val="16"/>
                <w:szCs w:val="16"/>
              </w:rPr>
            </w:pPr>
            <w:r>
              <w:rPr>
                <w:rFonts w:cs="Arial"/>
                <w:b/>
                <w:color w:val="000000"/>
                <w:sz w:val="16"/>
                <w:szCs w:val="16"/>
              </w:rPr>
              <w:t xml:space="preserve">Status quo </w:t>
            </w:r>
          </w:p>
        </w:tc>
        <w:tc>
          <w:tcPr>
            <w:tcW w:w="4395" w:type="dxa"/>
            <w:shd w:val="clear" w:color="auto" w:fill="99CDDD"/>
          </w:tcPr>
          <w:p w14:paraId="29D88A01" w14:textId="08A0F609" w:rsidR="00E709E0" w:rsidRDefault="00E709E0" w:rsidP="00FA24D7">
            <w:pPr>
              <w:spacing w:before="60" w:after="0" w:line="240" w:lineRule="auto"/>
              <w:rPr>
                <w:rFonts w:cs="Arial"/>
                <w:b/>
                <w:color w:val="000000"/>
                <w:sz w:val="16"/>
                <w:szCs w:val="16"/>
              </w:rPr>
            </w:pPr>
            <w:r>
              <w:rPr>
                <w:rFonts w:cs="Arial"/>
                <w:b/>
                <w:color w:val="000000"/>
                <w:sz w:val="16"/>
                <w:szCs w:val="16"/>
              </w:rPr>
              <w:t>Option 2</w:t>
            </w:r>
          </w:p>
          <w:p w14:paraId="78BEE7F3" w14:textId="733317A2" w:rsidR="00E709E0" w:rsidRPr="00067C91" w:rsidRDefault="00E709E0" w:rsidP="00D7086D">
            <w:pPr>
              <w:spacing w:before="60" w:after="0" w:line="240" w:lineRule="auto"/>
              <w:rPr>
                <w:rFonts w:cs="Arial"/>
                <w:b/>
                <w:color w:val="000000"/>
                <w:sz w:val="16"/>
                <w:szCs w:val="16"/>
              </w:rPr>
            </w:pPr>
            <w:r>
              <w:rPr>
                <w:rFonts w:cs="Arial"/>
                <w:b/>
                <w:color w:val="000000"/>
                <w:sz w:val="16"/>
                <w:szCs w:val="16"/>
              </w:rPr>
              <w:t>Design options proposed in the officials’ issues paper</w:t>
            </w:r>
          </w:p>
        </w:tc>
        <w:tc>
          <w:tcPr>
            <w:tcW w:w="5811" w:type="dxa"/>
            <w:shd w:val="clear" w:color="auto" w:fill="99CDDD"/>
          </w:tcPr>
          <w:p w14:paraId="69CCE5F8" w14:textId="2B868D80" w:rsidR="00E709E0" w:rsidRDefault="00E709E0" w:rsidP="00D7086D">
            <w:pPr>
              <w:spacing w:before="60" w:after="0" w:line="240" w:lineRule="auto"/>
              <w:rPr>
                <w:rFonts w:cs="Arial"/>
                <w:b/>
                <w:color w:val="000000"/>
                <w:sz w:val="16"/>
                <w:szCs w:val="16"/>
              </w:rPr>
            </w:pPr>
            <w:r w:rsidRPr="00067C91">
              <w:rPr>
                <w:rFonts w:cs="Arial"/>
                <w:b/>
                <w:color w:val="000000"/>
                <w:sz w:val="16"/>
                <w:szCs w:val="16"/>
              </w:rPr>
              <w:t>Option</w:t>
            </w:r>
            <w:r>
              <w:rPr>
                <w:rFonts w:cs="Arial"/>
                <w:b/>
                <w:color w:val="000000"/>
                <w:sz w:val="16"/>
                <w:szCs w:val="16"/>
              </w:rPr>
              <w:t xml:space="preserve"> 3</w:t>
            </w:r>
          </w:p>
          <w:p w14:paraId="7B9E5A0D" w14:textId="6C07C315" w:rsidR="00E709E0" w:rsidRPr="00D7086D" w:rsidRDefault="00E709E0" w:rsidP="00D7086D">
            <w:pPr>
              <w:spacing w:before="60" w:after="0" w:line="240" w:lineRule="auto"/>
              <w:rPr>
                <w:rFonts w:cs="Arial"/>
                <w:b/>
                <w:color w:val="000000"/>
                <w:sz w:val="16"/>
                <w:szCs w:val="16"/>
              </w:rPr>
            </w:pPr>
            <w:r>
              <w:rPr>
                <w:rFonts w:cs="Arial"/>
                <w:b/>
                <w:color w:val="000000"/>
                <w:sz w:val="16"/>
                <w:szCs w:val="16"/>
              </w:rPr>
              <w:t>Design options reflecting submissions received on the officials’ issues paper</w:t>
            </w:r>
          </w:p>
        </w:tc>
      </w:tr>
      <w:tr w:rsidR="00E709E0" w:rsidRPr="00DD7964" w14:paraId="7463E14B" w14:textId="77777777" w:rsidTr="00905F97">
        <w:trPr>
          <w:trHeight w:val="1024"/>
        </w:trPr>
        <w:tc>
          <w:tcPr>
            <w:tcW w:w="2802" w:type="dxa"/>
            <w:shd w:val="clear" w:color="auto" w:fill="99CDDD"/>
          </w:tcPr>
          <w:p w14:paraId="5E3A11B8" w14:textId="617CF3AB" w:rsidR="00E709E0" w:rsidRPr="00384E9B" w:rsidRDefault="00E709E0" w:rsidP="000B797C">
            <w:pPr>
              <w:spacing w:before="60" w:after="60" w:line="240" w:lineRule="auto"/>
              <w:rPr>
                <w:rFonts w:cs="Arial"/>
                <w:b/>
                <w:color w:val="000000"/>
                <w:sz w:val="20"/>
                <w:szCs w:val="24"/>
              </w:rPr>
            </w:pPr>
            <w:r>
              <w:rPr>
                <w:rFonts w:cs="Arial"/>
                <w:b/>
                <w:color w:val="000000"/>
                <w:sz w:val="20"/>
                <w:szCs w:val="24"/>
              </w:rPr>
              <w:t>Efficiency and Neutrality</w:t>
            </w:r>
          </w:p>
        </w:tc>
        <w:tc>
          <w:tcPr>
            <w:tcW w:w="1275" w:type="dxa"/>
            <w:vAlign w:val="center"/>
          </w:tcPr>
          <w:p w14:paraId="309826FC" w14:textId="7AEE9097" w:rsidR="00E709E0" w:rsidRPr="002A428B" w:rsidRDefault="00E709E0" w:rsidP="00711E49">
            <w:pPr>
              <w:spacing w:before="60" w:after="0"/>
              <w:jc w:val="center"/>
              <w:rPr>
                <w:rFonts w:asciiTheme="minorHAnsi" w:hAnsiTheme="minorHAnsi" w:cstheme="minorHAnsi"/>
                <w:b/>
                <w:color w:val="FF0000"/>
                <w:sz w:val="18"/>
                <w:szCs w:val="18"/>
              </w:rPr>
            </w:pPr>
            <w:r w:rsidRPr="002A428B">
              <w:rPr>
                <w:rFonts w:asciiTheme="minorHAnsi" w:hAnsiTheme="minorHAnsi" w:cstheme="minorHAnsi"/>
                <w:b/>
                <w:sz w:val="18"/>
                <w:szCs w:val="18"/>
              </w:rPr>
              <w:t>0</w:t>
            </w:r>
          </w:p>
        </w:tc>
        <w:tc>
          <w:tcPr>
            <w:tcW w:w="4395" w:type="dxa"/>
            <w:vAlign w:val="center"/>
          </w:tcPr>
          <w:p w14:paraId="15185B26" w14:textId="3463761B" w:rsidR="00E709E0" w:rsidRDefault="00A512E9" w:rsidP="00711E49">
            <w:pPr>
              <w:spacing w:before="60" w:after="0"/>
              <w:jc w:val="center"/>
              <w:rPr>
                <w:rFonts w:asciiTheme="minorHAnsi" w:hAnsiTheme="minorHAnsi" w:cstheme="minorHAnsi"/>
                <w:b/>
                <w:color w:val="FF0000"/>
                <w:sz w:val="18"/>
                <w:szCs w:val="18"/>
              </w:rPr>
            </w:pPr>
            <w:r>
              <w:rPr>
                <w:rFonts w:asciiTheme="minorHAnsi" w:hAnsiTheme="minorHAnsi" w:cstheme="minorHAnsi"/>
                <w:b/>
                <w:color w:val="FF0000"/>
                <w:sz w:val="18"/>
                <w:szCs w:val="18"/>
              </w:rPr>
              <w:t>-</w:t>
            </w:r>
          </w:p>
          <w:p w14:paraId="65A26ADE" w14:textId="5CC09577" w:rsidR="000A0D73" w:rsidRPr="002A428B" w:rsidRDefault="00EA47FE" w:rsidP="00711E49">
            <w:pPr>
              <w:spacing w:before="60" w:after="0"/>
              <w:jc w:val="center"/>
              <w:rPr>
                <w:rFonts w:asciiTheme="minorHAnsi" w:hAnsiTheme="minorHAnsi" w:cstheme="minorHAnsi"/>
                <w:b/>
                <w:color w:val="FF0000"/>
                <w:sz w:val="18"/>
                <w:szCs w:val="18"/>
              </w:rPr>
            </w:pPr>
            <w:r w:rsidRPr="00133C59">
              <w:rPr>
                <w:rFonts w:asciiTheme="minorHAnsi" w:hAnsiTheme="minorHAnsi" w:cstheme="minorHAnsi"/>
                <w:b/>
                <w:sz w:val="18"/>
                <w:szCs w:val="18"/>
              </w:rPr>
              <w:t>The proposals would treat residential investment property differently to other investments</w:t>
            </w:r>
            <w:r w:rsidR="00133C59">
              <w:rPr>
                <w:rFonts w:asciiTheme="minorHAnsi" w:hAnsiTheme="minorHAnsi" w:cstheme="minorHAnsi"/>
                <w:b/>
                <w:sz w:val="18"/>
                <w:szCs w:val="18"/>
              </w:rPr>
              <w:t>.</w:t>
            </w:r>
          </w:p>
        </w:tc>
        <w:tc>
          <w:tcPr>
            <w:tcW w:w="5811" w:type="dxa"/>
            <w:vAlign w:val="center"/>
          </w:tcPr>
          <w:p w14:paraId="0AD01799" w14:textId="77777777" w:rsidR="00E709E0" w:rsidRDefault="00E709E0" w:rsidP="00711E49">
            <w:pPr>
              <w:spacing w:before="60" w:after="0"/>
              <w:jc w:val="center"/>
              <w:rPr>
                <w:rFonts w:asciiTheme="minorHAnsi" w:hAnsiTheme="minorHAnsi" w:cstheme="minorHAnsi"/>
                <w:b/>
                <w:color w:val="FF0000"/>
                <w:sz w:val="18"/>
                <w:szCs w:val="18"/>
              </w:rPr>
            </w:pPr>
            <w:r w:rsidRPr="002A428B">
              <w:rPr>
                <w:rFonts w:asciiTheme="minorHAnsi" w:hAnsiTheme="minorHAnsi" w:cstheme="minorHAnsi"/>
                <w:b/>
                <w:color w:val="FF0000"/>
                <w:sz w:val="18"/>
                <w:szCs w:val="18"/>
              </w:rPr>
              <w:t>-</w:t>
            </w:r>
          </w:p>
          <w:p w14:paraId="082D35F1" w14:textId="6332E1D3" w:rsidR="00EA47FE" w:rsidRPr="002A428B" w:rsidRDefault="00EA47FE" w:rsidP="007529A8">
            <w:pPr>
              <w:spacing w:before="60" w:after="0"/>
              <w:jc w:val="center"/>
              <w:rPr>
                <w:rFonts w:asciiTheme="minorHAnsi" w:hAnsiTheme="minorHAnsi" w:cstheme="minorHAnsi"/>
                <w:b/>
                <w:color w:val="FF0000"/>
                <w:sz w:val="18"/>
                <w:szCs w:val="18"/>
              </w:rPr>
            </w:pPr>
            <w:r w:rsidRPr="00133C59">
              <w:rPr>
                <w:rFonts w:asciiTheme="minorHAnsi" w:hAnsiTheme="minorHAnsi" w:cstheme="minorHAnsi"/>
                <w:b/>
                <w:sz w:val="18"/>
                <w:szCs w:val="18"/>
              </w:rPr>
              <w:t>Th</w:t>
            </w:r>
            <w:r w:rsidR="007529A8" w:rsidRPr="00133C59">
              <w:rPr>
                <w:rFonts w:asciiTheme="minorHAnsi" w:hAnsiTheme="minorHAnsi" w:cstheme="minorHAnsi"/>
                <w:b/>
                <w:sz w:val="18"/>
                <w:szCs w:val="18"/>
              </w:rPr>
              <w:t>is option introduces further exclusions from the rules in appropriate circumstances</w:t>
            </w:r>
            <w:r w:rsidR="00133C59">
              <w:rPr>
                <w:rFonts w:asciiTheme="minorHAnsi" w:hAnsiTheme="minorHAnsi" w:cstheme="minorHAnsi"/>
                <w:b/>
                <w:sz w:val="18"/>
                <w:szCs w:val="18"/>
              </w:rPr>
              <w:t>.</w:t>
            </w:r>
            <w:r w:rsidR="007529A8" w:rsidRPr="00133C59">
              <w:rPr>
                <w:rFonts w:asciiTheme="minorHAnsi" w:hAnsiTheme="minorHAnsi" w:cstheme="minorHAnsi"/>
                <w:b/>
                <w:sz w:val="18"/>
                <w:szCs w:val="18"/>
              </w:rPr>
              <w:t xml:space="preserve"> </w:t>
            </w:r>
          </w:p>
        </w:tc>
      </w:tr>
      <w:tr w:rsidR="00E709E0" w:rsidRPr="00DD7964" w14:paraId="221BD005" w14:textId="77777777" w:rsidTr="00905F97">
        <w:trPr>
          <w:trHeight w:val="1024"/>
        </w:trPr>
        <w:tc>
          <w:tcPr>
            <w:tcW w:w="2802" w:type="dxa"/>
            <w:shd w:val="clear" w:color="auto" w:fill="99CDDD"/>
          </w:tcPr>
          <w:p w14:paraId="06C2D599" w14:textId="5C5BCE18" w:rsidR="00E709E0" w:rsidRDefault="00E709E0" w:rsidP="000B797C">
            <w:pPr>
              <w:spacing w:before="60" w:after="60" w:line="240" w:lineRule="auto"/>
              <w:rPr>
                <w:rFonts w:cs="Arial"/>
                <w:b/>
                <w:color w:val="000000"/>
                <w:sz w:val="20"/>
                <w:szCs w:val="24"/>
              </w:rPr>
            </w:pPr>
            <w:r>
              <w:rPr>
                <w:rFonts w:cs="Arial"/>
                <w:b/>
                <w:color w:val="000000"/>
                <w:sz w:val="20"/>
                <w:szCs w:val="24"/>
              </w:rPr>
              <w:t>Fairness and equity</w:t>
            </w:r>
          </w:p>
        </w:tc>
        <w:tc>
          <w:tcPr>
            <w:tcW w:w="1275" w:type="dxa"/>
            <w:vAlign w:val="center"/>
          </w:tcPr>
          <w:p w14:paraId="549E4EA7" w14:textId="2D2DF6AE" w:rsidR="00E709E0" w:rsidRPr="002A428B" w:rsidRDefault="00E709E0" w:rsidP="00711E49">
            <w:pPr>
              <w:spacing w:before="60" w:after="0"/>
              <w:jc w:val="center"/>
              <w:rPr>
                <w:rFonts w:asciiTheme="minorHAnsi" w:hAnsiTheme="minorHAnsi" w:cstheme="minorHAnsi"/>
                <w:b/>
                <w:color w:val="00B050"/>
                <w:sz w:val="18"/>
                <w:szCs w:val="18"/>
              </w:rPr>
            </w:pPr>
            <w:r w:rsidRPr="002A428B">
              <w:rPr>
                <w:rFonts w:asciiTheme="minorHAnsi" w:hAnsiTheme="minorHAnsi" w:cstheme="minorHAnsi"/>
                <w:b/>
                <w:sz w:val="18"/>
                <w:szCs w:val="18"/>
              </w:rPr>
              <w:t>0</w:t>
            </w:r>
          </w:p>
        </w:tc>
        <w:tc>
          <w:tcPr>
            <w:tcW w:w="4395" w:type="dxa"/>
            <w:vAlign w:val="center"/>
          </w:tcPr>
          <w:p w14:paraId="3239AF35" w14:textId="66B6C67E" w:rsidR="00E709E0" w:rsidRDefault="00E709E0" w:rsidP="00711E49">
            <w:pPr>
              <w:spacing w:before="60" w:after="0"/>
              <w:jc w:val="center"/>
              <w:rPr>
                <w:rFonts w:asciiTheme="minorHAnsi" w:hAnsiTheme="minorHAnsi" w:cstheme="minorHAnsi"/>
                <w:b/>
                <w:color w:val="00B050"/>
                <w:sz w:val="18"/>
                <w:szCs w:val="18"/>
              </w:rPr>
            </w:pPr>
            <w:r w:rsidRPr="002A428B">
              <w:rPr>
                <w:rFonts w:asciiTheme="minorHAnsi" w:hAnsiTheme="minorHAnsi" w:cstheme="minorHAnsi"/>
                <w:b/>
                <w:color w:val="00B050"/>
                <w:sz w:val="18"/>
                <w:szCs w:val="18"/>
              </w:rPr>
              <w:t>+</w:t>
            </w:r>
            <w:r w:rsidR="00A512E9">
              <w:rPr>
                <w:rFonts w:asciiTheme="minorHAnsi" w:hAnsiTheme="minorHAnsi" w:cstheme="minorHAnsi"/>
                <w:b/>
                <w:color w:val="00B050"/>
                <w:sz w:val="18"/>
                <w:szCs w:val="18"/>
              </w:rPr>
              <w:t>+</w:t>
            </w:r>
          </w:p>
          <w:p w14:paraId="20D06DEB" w14:textId="584B531E" w:rsidR="007529A8" w:rsidRPr="002A428B" w:rsidRDefault="007529A8" w:rsidP="00711E49">
            <w:pPr>
              <w:spacing w:before="60" w:after="0"/>
              <w:jc w:val="center"/>
              <w:rPr>
                <w:rFonts w:asciiTheme="minorHAnsi" w:hAnsiTheme="minorHAnsi" w:cstheme="minorHAnsi"/>
                <w:b/>
                <w:color w:val="00B050"/>
                <w:sz w:val="18"/>
                <w:szCs w:val="18"/>
              </w:rPr>
            </w:pPr>
            <w:r w:rsidRPr="00133C59">
              <w:rPr>
                <w:rFonts w:asciiTheme="minorHAnsi" w:hAnsiTheme="minorHAnsi" w:cstheme="minorHAnsi"/>
                <w:b/>
                <w:sz w:val="18"/>
                <w:szCs w:val="18"/>
              </w:rPr>
              <w:t>This option helps even the playing field between investors and owner-occupiers</w:t>
            </w:r>
            <w:r w:rsidR="00133C59">
              <w:rPr>
                <w:rFonts w:asciiTheme="minorHAnsi" w:hAnsiTheme="minorHAnsi" w:cstheme="minorHAnsi"/>
                <w:b/>
                <w:sz w:val="18"/>
                <w:szCs w:val="18"/>
              </w:rPr>
              <w:t>.</w:t>
            </w:r>
          </w:p>
        </w:tc>
        <w:tc>
          <w:tcPr>
            <w:tcW w:w="5811" w:type="dxa"/>
            <w:vAlign w:val="center"/>
          </w:tcPr>
          <w:p w14:paraId="06DA7DB4" w14:textId="77777777" w:rsidR="00E709E0" w:rsidRDefault="00E709E0" w:rsidP="00711E49">
            <w:pPr>
              <w:spacing w:before="60" w:after="0"/>
              <w:jc w:val="center"/>
              <w:rPr>
                <w:rFonts w:asciiTheme="minorHAnsi" w:hAnsiTheme="minorHAnsi" w:cstheme="minorHAnsi"/>
                <w:b/>
                <w:color w:val="00B050"/>
                <w:sz w:val="18"/>
                <w:szCs w:val="18"/>
              </w:rPr>
            </w:pPr>
            <w:r w:rsidRPr="002A428B">
              <w:rPr>
                <w:rFonts w:asciiTheme="minorHAnsi" w:hAnsiTheme="minorHAnsi" w:cstheme="minorHAnsi"/>
                <w:b/>
                <w:color w:val="00B050"/>
                <w:sz w:val="18"/>
                <w:szCs w:val="18"/>
              </w:rPr>
              <w:t>++</w:t>
            </w:r>
          </w:p>
          <w:p w14:paraId="29C32D5F" w14:textId="7641E06B" w:rsidR="007529A8" w:rsidRPr="002A428B" w:rsidRDefault="007529A8" w:rsidP="00711E49">
            <w:pPr>
              <w:spacing w:before="60" w:after="0"/>
              <w:jc w:val="center"/>
              <w:rPr>
                <w:rFonts w:asciiTheme="minorHAnsi" w:hAnsiTheme="minorHAnsi" w:cstheme="minorHAnsi"/>
                <w:b/>
                <w:color w:val="00B050"/>
                <w:sz w:val="18"/>
                <w:szCs w:val="18"/>
              </w:rPr>
            </w:pPr>
            <w:r w:rsidRPr="00133C59">
              <w:rPr>
                <w:rFonts w:asciiTheme="minorHAnsi" w:hAnsiTheme="minorHAnsi" w:cstheme="minorHAnsi"/>
                <w:b/>
                <w:sz w:val="18"/>
                <w:szCs w:val="18"/>
              </w:rPr>
              <w:t>This option more accurately targets property investors</w:t>
            </w:r>
            <w:r w:rsidR="00133C59">
              <w:rPr>
                <w:rFonts w:asciiTheme="minorHAnsi" w:hAnsiTheme="minorHAnsi" w:cstheme="minorHAnsi"/>
                <w:b/>
                <w:sz w:val="18"/>
                <w:szCs w:val="18"/>
              </w:rPr>
              <w:t>.</w:t>
            </w:r>
          </w:p>
        </w:tc>
      </w:tr>
      <w:tr w:rsidR="00E709E0" w:rsidRPr="00DD7964" w14:paraId="67F87AF1" w14:textId="77777777" w:rsidTr="00905F97">
        <w:trPr>
          <w:trHeight w:val="808"/>
        </w:trPr>
        <w:tc>
          <w:tcPr>
            <w:tcW w:w="2802" w:type="dxa"/>
            <w:shd w:val="clear" w:color="auto" w:fill="99CDDD"/>
          </w:tcPr>
          <w:p w14:paraId="78938E72" w14:textId="347008EF" w:rsidR="00E709E0" w:rsidRPr="00384E9B" w:rsidRDefault="00E709E0" w:rsidP="000B797C">
            <w:pPr>
              <w:spacing w:before="60" w:after="60" w:line="240" w:lineRule="auto"/>
              <w:rPr>
                <w:rFonts w:cs="Arial"/>
                <w:b/>
                <w:color w:val="000000"/>
                <w:sz w:val="20"/>
                <w:szCs w:val="24"/>
              </w:rPr>
            </w:pPr>
            <w:r>
              <w:rPr>
                <w:rFonts w:cs="Arial"/>
                <w:b/>
                <w:color w:val="000000"/>
                <w:sz w:val="20"/>
                <w:szCs w:val="24"/>
              </w:rPr>
              <w:t>Efficiency of compliance</w:t>
            </w:r>
          </w:p>
        </w:tc>
        <w:tc>
          <w:tcPr>
            <w:tcW w:w="1275" w:type="dxa"/>
            <w:vAlign w:val="center"/>
          </w:tcPr>
          <w:p w14:paraId="1CBE3FF7" w14:textId="575D346C" w:rsidR="00E709E0" w:rsidRPr="002A428B" w:rsidRDefault="00E709E0" w:rsidP="00711E49">
            <w:pPr>
              <w:spacing w:before="60" w:after="0"/>
              <w:jc w:val="center"/>
              <w:rPr>
                <w:rFonts w:asciiTheme="minorHAnsi" w:hAnsiTheme="minorHAnsi" w:cstheme="minorHAnsi"/>
                <w:b/>
                <w:color w:val="FF0000"/>
                <w:sz w:val="18"/>
                <w:szCs w:val="18"/>
              </w:rPr>
            </w:pPr>
            <w:r w:rsidRPr="002A428B">
              <w:rPr>
                <w:rFonts w:asciiTheme="minorHAnsi" w:hAnsiTheme="minorHAnsi" w:cstheme="minorHAnsi"/>
                <w:b/>
                <w:sz w:val="18"/>
                <w:szCs w:val="18"/>
              </w:rPr>
              <w:t>0</w:t>
            </w:r>
          </w:p>
        </w:tc>
        <w:tc>
          <w:tcPr>
            <w:tcW w:w="4395" w:type="dxa"/>
            <w:vAlign w:val="center"/>
          </w:tcPr>
          <w:p w14:paraId="73C4BB0D" w14:textId="77777777" w:rsidR="00E709E0" w:rsidRDefault="00E709E0" w:rsidP="00711E49">
            <w:pPr>
              <w:spacing w:before="60" w:after="0"/>
              <w:jc w:val="center"/>
              <w:rPr>
                <w:rFonts w:asciiTheme="minorHAnsi" w:hAnsiTheme="minorHAnsi" w:cstheme="minorHAnsi"/>
                <w:b/>
                <w:color w:val="FF0000"/>
                <w:sz w:val="18"/>
                <w:szCs w:val="18"/>
              </w:rPr>
            </w:pPr>
            <w:r w:rsidRPr="002A428B">
              <w:rPr>
                <w:rFonts w:asciiTheme="minorHAnsi" w:hAnsiTheme="minorHAnsi" w:cstheme="minorHAnsi"/>
                <w:b/>
                <w:color w:val="FF0000"/>
                <w:sz w:val="18"/>
                <w:szCs w:val="18"/>
              </w:rPr>
              <w:t>-</w:t>
            </w:r>
          </w:p>
          <w:p w14:paraId="100286E9" w14:textId="473F4B6F" w:rsidR="007529A8" w:rsidRPr="002A428B" w:rsidRDefault="007529A8" w:rsidP="00711E49">
            <w:pPr>
              <w:spacing w:before="60" w:after="0"/>
              <w:jc w:val="center"/>
              <w:rPr>
                <w:rFonts w:asciiTheme="minorHAnsi" w:hAnsiTheme="minorHAnsi" w:cstheme="minorHAnsi"/>
                <w:b/>
                <w:sz w:val="18"/>
                <w:szCs w:val="18"/>
              </w:rPr>
            </w:pPr>
            <w:r w:rsidRPr="00133C59">
              <w:rPr>
                <w:rFonts w:asciiTheme="minorHAnsi" w:hAnsiTheme="minorHAnsi" w:cstheme="minorHAnsi"/>
                <w:b/>
                <w:sz w:val="18"/>
                <w:szCs w:val="18"/>
              </w:rPr>
              <w:t xml:space="preserve">This option would have required </w:t>
            </w:r>
            <w:r w:rsidR="00A512E9" w:rsidRPr="00133C59">
              <w:rPr>
                <w:rFonts w:asciiTheme="minorHAnsi" w:hAnsiTheme="minorHAnsi" w:cstheme="minorHAnsi"/>
                <w:b/>
                <w:sz w:val="18"/>
                <w:szCs w:val="18"/>
              </w:rPr>
              <w:t>people other than property investors</w:t>
            </w:r>
            <w:r w:rsidRPr="00133C59">
              <w:rPr>
                <w:rFonts w:asciiTheme="minorHAnsi" w:hAnsiTheme="minorHAnsi" w:cstheme="minorHAnsi"/>
                <w:b/>
                <w:sz w:val="18"/>
                <w:szCs w:val="18"/>
              </w:rPr>
              <w:t xml:space="preserve"> to apply new ring-fencing rules</w:t>
            </w:r>
            <w:r w:rsidR="00133C59">
              <w:rPr>
                <w:rFonts w:asciiTheme="minorHAnsi" w:hAnsiTheme="minorHAnsi" w:cstheme="minorHAnsi"/>
                <w:b/>
                <w:sz w:val="18"/>
                <w:szCs w:val="18"/>
              </w:rPr>
              <w:t>.</w:t>
            </w:r>
          </w:p>
        </w:tc>
        <w:tc>
          <w:tcPr>
            <w:tcW w:w="5811" w:type="dxa"/>
            <w:vAlign w:val="center"/>
          </w:tcPr>
          <w:p w14:paraId="5D48DD6E" w14:textId="77777777" w:rsidR="00E709E0" w:rsidRDefault="00E709E0" w:rsidP="00711E49">
            <w:pPr>
              <w:spacing w:before="60" w:after="0"/>
              <w:jc w:val="center"/>
              <w:rPr>
                <w:rFonts w:asciiTheme="minorHAnsi" w:hAnsiTheme="minorHAnsi" w:cstheme="minorHAnsi"/>
                <w:b/>
                <w:sz w:val="18"/>
                <w:szCs w:val="18"/>
              </w:rPr>
            </w:pPr>
            <w:r w:rsidRPr="002A428B">
              <w:rPr>
                <w:rFonts w:asciiTheme="minorHAnsi" w:hAnsiTheme="minorHAnsi" w:cstheme="minorHAnsi"/>
                <w:b/>
                <w:sz w:val="18"/>
                <w:szCs w:val="18"/>
              </w:rPr>
              <w:t>0</w:t>
            </w:r>
          </w:p>
          <w:p w14:paraId="3B832A4B" w14:textId="623DC1D5" w:rsidR="007529A8" w:rsidRPr="002A428B" w:rsidRDefault="007529A8" w:rsidP="00A512E9">
            <w:pPr>
              <w:spacing w:before="60" w:after="0"/>
              <w:jc w:val="center"/>
              <w:rPr>
                <w:rFonts w:asciiTheme="minorHAnsi" w:hAnsiTheme="minorHAnsi" w:cstheme="minorHAnsi"/>
                <w:b/>
                <w:color w:val="FF0000"/>
                <w:sz w:val="18"/>
                <w:szCs w:val="18"/>
              </w:rPr>
            </w:pPr>
            <w:r>
              <w:rPr>
                <w:rFonts w:asciiTheme="minorHAnsi" w:hAnsiTheme="minorHAnsi" w:cstheme="minorHAnsi"/>
                <w:b/>
                <w:sz w:val="18"/>
                <w:szCs w:val="18"/>
              </w:rPr>
              <w:t xml:space="preserve">This option </w:t>
            </w:r>
            <w:r w:rsidR="009123A6">
              <w:rPr>
                <w:rFonts w:asciiTheme="minorHAnsi" w:hAnsiTheme="minorHAnsi" w:cstheme="minorHAnsi"/>
                <w:b/>
                <w:sz w:val="18"/>
                <w:szCs w:val="18"/>
              </w:rPr>
              <w:t xml:space="preserve">decreases compliance costs for </w:t>
            </w:r>
            <w:r w:rsidR="00A512E9">
              <w:rPr>
                <w:rFonts w:asciiTheme="minorHAnsi" w:hAnsiTheme="minorHAnsi" w:cstheme="minorHAnsi"/>
                <w:b/>
                <w:sz w:val="18"/>
                <w:szCs w:val="18"/>
              </w:rPr>
              <w:t xml:space="preserve">people other than property investors </w:t>
            </w:r>
            <w:r w:rsidR="009123A6">
              <w:rPr>
                <w:rFonts w:asciiTheme="minorHAnsi" w:hAnsiTheme="minorHAnsi" w:cstheme="minorHAnsi"/>
                <w:b/>
                <w:sz w:val="18"/>
                <w:szCs w:val="18"/>
              </w:rPr>
              <w:t>compared to option 2 by excluding them from the new rules</w:t>
            </w:r>
            <w:r w:rsidR="00133C59">
              <w:rPr>
                <w:rFonts w:asciiTheme="minorHAnsi" w:hAnsiTheme="minorHAnsi" w:cstheme="minorHAnsi"/>
                <w:b/>
                <w:sz w:val="18"/>
                <w:szCs w:val="18"/>
              </w:rPr>
              <w:t>.</w:t>
            </w:r>
          </w:p>
        </w:tc>
      </w:tr>
      <w:tr w:rsidR="00E709E0" w:rsidRPr="00DD7964" w14:paraId="38CC202C" w14:textId="77777777" w:rsidTr="00905F97">
        <w:trPr>
          <w:trHeight w:val="790"/>
        </w:trPr>
        <w:tc>
          <w:tcPr>
            <w:tcW w:w="2802" w:type="dxa"/>
            <w:shd w:val="clear" w:color="auto" w:fill="99CDDD"/>
          </w:tcPr>
          <w:p w14:paraId="429152FB" w14:textId="6CD8AD1E" w:rsidR="00E709E0" w:rsidRDefault="00E709E0" w:rsidP="000B797C">
            <w:pPr>
              <w:spacing w:before="60" w:after="60" w:line="240" w:lineRule="auto"/>
              <w:rPr>
                <w:rFonts w:cs="Arial"/>
                <w:b/>
                <w:color w:val="000000"/>
                <w:sz w:val="20"/>
                <w:szCs w:val="24"/>
              </w:rPr>
            </w:pPr>
            <w:r>
              <w:rPr>
                <w:rFonts w:cs="Arial"/>
                <w:b/>
                <w:color w:val="000000"/>
                <w:sz w:val="20"/>
                <w:szCs w:val="24"/>
              </w:rPr>
              <w:t>Efficiency of administration</w:t>
            </w:r>
          </w:p>
        </w:tc>
        <w:tc>
          <w:tcPr>
            <w:tcW w:w="1275" w:type="dxa"/>
            <w:vAlign w:val="center"/>
          </w:tcPr>
          <w:p w14:paraId="660DDF75" w14:textId="2DB0EA74" w:rsidR="00E709E0" w:rsidRPr="002A428B" w:rsidRDefault="00E709E0" w:rsidP="002A428B">
            <w:pPr>
              <w:spacing w:before="60" w:after="0"/>
              <w:jc w:val="center"/>
              <w:rPr>
                <w:rFonts w:asciiTheme="minorHAnsi" w:hAnsiTheme="minorHAnsi" w:cstheme="minorHAnsi"/>
                <w:b/>
                <w:color w:val="FF0000"/>
                <w:sz w:val="18"/>
                <w:szCs w:val="18"/>
              </w:rPr>
            </w:pPr>
            <w:r w:rsidRPr="002A428B">
              <w:rPr>
                <w:rFonts w:asciiTheme="minorHAnsi" w:hAnsiTheme="minorHAnsi" w:cstheme="minorHAnsi"/>
                <w:b/>
                <w:sz w:val="18"/>
                <w:szCs w:val="18"/>
              </w:rPr>
              <w:t>0</w:t>
            </w:r>
          </w:p>
        </w:tc>
        <w:tc>
          <w:tcPr>
            <w:tcW w:w="4395" w:type="dxa"/>
            <w:vAlign w:val="center"/>
          </w:tcPr>
          <w:p w14:paraId="119AC2E2" w14:textId="7F13700D" w:rsidR="00E709E0" w:rsidRPr="00133C59" w:rsidRDefault="00A512E9" w:rsidP="00711E49">
            <w:pPr>
              <w:spacing w:before="60" w:after="0"/>
              <w:jc w:val="center"/>
              <w:rPr>
                <w:rFonts w:asciiTheme="minorHAnsi" w:hAnsiTheme="minorHAnsi" w:cstheme="minorHAnsi"/>
                <w:b/>
                <w:sz w:val="18"/>
                <w:szCs w:val="18"/>
              </w:rPr>
            </w:pPr>
            <w:r w:rsidRPr="00133C59">
              <w:rPr>
                <w:rFonts w:asciiTheme="minorHAnsi" w:hAnsiTheme="minorHAnsi" w:cstheme="minorHAnsi"/>
                <w:b/>
                <w:sz w:val="18"/>
                <w:szCs w:val="18"/>
              </w:rPr>
              <w:t>0</w:t>
            </w:r>
          </w:p>
          <w:p w14:paraId="78AC310C" w14:textId="04BEF56C" w:rsidR="007529A8" w:rsidRPr="002A428B" w:rsidRDefault="008F37A0" w:rsidP="00711E49">
            <w:pPr>
              <w:spacing w:before="60" w:after="0"/>
              <w:jc w:val="center"/>
              <w:rPr>
                <w:rFonts w:asciiTheme="minorHAnsi" w:hAnsiTheme="minorHAnsi" w:cstheme="minorHAnsi"/>
                <w:b/>
                <w:color w:val="FF0000"/>
                <w:sz w:val="18"/>
                <w:szCs w:val="18"/>
              </w:rPr>
            </w:pPr>
            <w:r w:rsidRPr="00133C59">
              <w:rPr>
                <w:rFonts w:asciiTheme="minorHAnsi" w:hAnsiTheme="minorHAnsi" w:cstheme="minorHAnsi"/>
                <w:b/>
                <w:sz w:val="18"/>
                <w:szCs w:val="18"/>
              </w:rPr>
              <w:t xml:space="preserve">There would need to be </w:t>
            </w:r>
            <w:r w:rsidR="00EC7A44" w:rsidRPr="00133C59">
              <w:rPr>
                <w:rFonts w:asciiTheme="minorHAnsi" w:hAnsiTheme="minorHAnsi" w:cstheme="minorHAnsi"/>
                <w:b/>
                <w:sz w:val="18"/>
                <w:szCs w:val="18"/>
              </w:rPr>
              <w:t xml:space="preserve">relatively minor </w:t>
            </w:r>
            <w:r w:rsidRPr="00133C59">
              <w:rPr>
                <w:rFonts w:asciiTheme="minorHAnsi" w:hAnsiTheme="minorHAnsi" w:cstheme="minorHAnsi"/>
                <w:b/>
                <w:sz w:val="18"/>
                <w:szCs w:val="18"/>
              </w:rPr>
              <w:t>changes to some Inland Revenue forms and systems.</w:t>
            </w:r>
          </w:p>
        </w:tc>
        <w:tc>
          <w:tcPr>
            <w:tcW w:w="5811" w:type="dxa"/>
            <w:vAlign w:val="center"/>
          </w:tcPr>
          <w:p w14:paraId="2B34CD99" w14:textId="57E1CB3E" w:rsidR="00E709E0" w:rsidRPr="00133C59" w:rsidRDefault="00A512E9" w:rsidP="00711E49">
            <w:pPr>
              <w:spacing w:before="60" w:after="0"/>
              <w:jc w:val="center"/>
              <w:rPr>
                <w:rFonts w:asciiTheme="minorHAnsi" w:hAnsiTheme="minorHAnsi" w:cstheme="minorHAnsi"/>
                <w:b/>
                <w:sz w:val="18"/>
                <w:szCs w:val="18"/>
              </w:rPr>
            </w:pPr>
            <w:r w:rsidRPr="00133C59">
              <w:rPr>
                <w:rFonts w:asciiTheme="minorHAnsi" w:hAnsiTheme="minorHAnsi" w:cstheme="minorHAnsi"/>
                <w:b/>
                <w:sz w:val="18"/>
                <w:szCs w:val="18"/>
              </w:rPr>
              <w:t>0</w:t>
            </w:r>
          </w:p>
          <w:p w14:paraId="77EDE481" w14:textId="295F474E" w:rsidR="008F37A0" w:rsidRPr="002A428B" w:rsidRDefault="008F37A0" w:rsidP="00905F97">
            <w:pPr>
              <w:spacing w:before="60" w:after="0"/>
              <w:jc w:val="center"/>
              <w:rPr>
                <w:rFonts w:asciiTheme="minorHAnsi" w:hAnsiTheme="minorHAnsi" w:cstheme="minorHAnsi"/>
                <w:b/>
                <w:color w:val="FF0000"/>
                <w:sz w:val="18"/>
                <w:szCs w:val="18"/>
              </w:rPr>
            </w:pPr>
            <w:r w:rsidRPr="00133C59">
              <w:rPr>
                <w:rFonts w:asciiTheme="minorHAnsi" w:hAnsiTheme="minorHAnsi" w:cstheme="minorHAnsi"/>
                <w:b/>
                <w:sz w:val="18"/>
                <w:szCs w:val="18"/>
              </w:rPr>
              <w:t xml:space="preserve">The design features from this option would impose no significant additional administration costs compared to </w:t>
            </w:r>
            <w:r w:rsidR="00905F97" w:rsidRPr="00133C59">
              <w:rPr>
                <w:rFonts w:asciiTheme="minorHAnsi" w:hAnsiTheme="minorHAnsi" w:cstheme="minorHAnsi"/>
                <w:b/>
                <w:sz w:val="18"/>
                <w:szCs w:val="18"/>
              </w:rPr>
              <w:t>O</w:t>
            </w:r>
            <w:r w:rsidRPr="00133C59">
              <w:rPr>
                <w:rFonts w:asciiTheme="minorHAnsi" w:hAnsiTheme="minorHAnsi" w:cstheme="minorHAnsi"/>
                <w:b/>
                <w:sz w:val="18"/>
                <w:szCs w:val="18"/>
              </w:rPr>
              <w:t>ption 2</w:t>
            </w:r>
            <w:r w:rsidR="00133C59">
              <w:rPr>
                <w:rFonts w:asciiTheme="minorHAnsi" w:hAnsiTheme="minorHAnsi" w:cstheme="minorHAnsi"/>
                <w:b/>
                <w:sz w:val="18"/>
                <w:szCs w:val="18"/>
              </w:rPr>
              <w:t>.</w:t>
            </w:r>
          </w:p>
        </w:tc>
      </w:tr>
      <w:tr w:rsidR="00E709E0" w:rsidRPr="00DD7964" w14:paraId="6EF7D4DA" w14:textId="77777777" w:rsidTr="00905F97">
        <w:trPr>
          <w:trHeight w:val="725"/>
        </w:trPr>
        <w:tc>
          <w:tcPr>
            <w:tcW w:w="2802" w:type="dxa"/>
            <w:shd w:val="clear" w:color="auto" w:fill="99CDDD"/>
          </w:tcPr>
          <w:p w14:paraId="24386CEC" w14:textId="77777777" w:rsidR="00E709E0" w:rsidRPr="00384E9B" w:rsidRDefault="00E709E0" w:rsidP="000B797C">
            <w:pPr>
              <w:spacing w:before="60" w:after="60" w:line="240" w:lineRule="auto"/>
              <w:rPr>
                <w:rFonts w:cs="Arial"/>
                <w:b/>
                <w:color w:val="000000"/>
                <w:sz w:val="20"/>
                <w:szCs w:val="24"/>
              </w:rPr>
            </w:pPr>
            <w:r w:rsidRPr="00384E9B">
              <w:rPr>
                <w:rFonts w:cs="Arial"/>
                <w:b/>
                <w:color w:val="000000"/>
                <w:sz w:val="20"/>
                <w:szCs w:val="24"/>
              </w:rPr>
              <w:t>Overall assessment</w:t>
            </w:r>
          </w:p>
        </w:tc>
        <w:tc>
          <w:tcPr>
            <w:tcW w:w="1275" w:type="dxa"/>
            <w:vAlign w:val="center"/>
          </w:tcPr>
          <w:p w14:paraId="381CA84C" w14:textId="771F2819" w:rsidR="00E709E0" w:rsidRPr="002A428B" w:rsidRDefault="00E709E0" w:rsidP="00711E49">
            <w:pPr>
              <w:spacing w:before="60" w:after="0"/>
              <w:jc w:val="center"/>
              <w:rPr>
                <w:rFonts w:asciiTheme="minorHAnsi" w:hAnsiTheme="minorHAnsi" w:cstheme="minorHAnsi"/>
                <w:b/>
                <w:color w:val="FF0000"/>
                <w:sz w:val="18"/>
                <w:szCs w:val="18"/>
              </w:rPr>
            </w:pPr>
            <w:r w:rsidRPr="002A428B">
              <w:rPr>
                <w:rFonts w:asciiTheme="minorHAnsi" w:hAnsiTheme="minorHAnsi" w:cstheme="minorHAnsi"/>
                <w:b/>
                <w:sz w:val="18"/>
                <w:szCs w:val="18"/>
              </w:rPr>
              <w:t>0</w:t>
            </w:r>
          </w:p>
        </w:tc>
        <w:tc>
          <w:tcPr>
            <w:tcW w:w="4395" w:type="dxa"/>
            <w:vAlign w:val="center"/>
          </w:tcPr>
          <w:p w14:paraId="609A4706" w14:textId="64F58953" w:rsidR="00E709E0" w:rsidRPr="00905F97" w:rsidRDefault="00A512E9" w:rsidP="00711E49">
            <w:pPr>
              <w:spacing w:before="60" w:after="0"/>
              <w:jc w:val="center"/>
              <w:rPr>
                <w:rFonts w:asciiTheme="minorHAnsi" w:hAnsiTheme="minorHAnsi" w:cstheme="minorHAnsi"/>
                <w:b/>
                <w:color w:val="00B050"/>
                <w:sz w:val="18"/>
                <w:szCs w:val="18"/>
              </w:rPr>
            </w:pPr>
            <w:r w:rsidRPr="00905F97">
              <w:rPr>
                <w:rFonts w:asciiTheme="minorHAnsi" w:hAnsiTheme="minorHAnsi" w:cstheme="minorHAnsi"/>
                <w:b/>
                <w:color w:val="00B050"/>
                <w:sz w:val="18"/>
                <w:szCs w:val="18"/>
              </w:rPr>
              <w:t>+</w:t>
            </w:r>
          </w:p>
          <w:p w14:paraId="0F440569" w14:textId="4588BA48" w:rsidR="00A512E9" w:rsidRPr="00905F97" w:rsidRDefault="00905F97" w:rsidP="00711E49">
            <w:pPr>
              <w:spacing w:before="60" w:after="0"/>
              <w:jc w:val="center"/>
              <w:rPr>
                <w:rFonts w:asciiTheme="minorHAnsi" w:hAnsiTheme="minorHAnsi" w:cstheme="minorHAnsi"/>
                <w:b/>
                <w:color w:val="00B050"/>
                <w:sz w:val="18"/>
                <w:szCs w:val="18"/>
              </w:rPr>
            </w:pPr>
            <w:r w:rsidRPr="00133C59">
              <w:rPr>
                <w:rFonts w:asciiTheme="minorHAnsi" w:hAnsiTheme="minorHAnsi" w:cstheme="minorHAnsi"/>
                <w:b/>
                <w:sz w:val="18"/>
                <w:szCs w:val="18"/>
              </w:rPr>
              <w:t>As the objective was to increase the fairness and equity of the tax system, this consideration outweighs the other considerations and overall we think this option is an improvement over the status quo</w:t>
            </w:r>
            <w:r w:rsidR="00133C59">
              <w:rPr>
                <w:rFonts w:asciiTheme="minorHAnsi" w:hAnsiTheme="minorHAnsi" w:cstheme="minorHAnsi"/>
                <w:b/>
                <w:sz w:val="18"/>
                <w:szCs w:val="18"/>
              </w:rPr>
              <w:t>.</w:t>
            </w:r>
          </w:p>
        </w:tc>
        <w:tc>
          <w:tcPr>
            <w:tcW w:w="5811" w:type="dxa"/>
            <w:vAlign w:val="center"/>
          </w:tcPr>
          <w:p w14:paraId="5931A52B" w14:textId="77777777" w:rsidR="00E709E0" w:rsidRPr="00905F97" w:rsidRDefault="00E709E0" w:rsidP="00711E49">
            <w:pPr>
              <w:spacing w:before="60" w:after="0"/>
              <w:jc w:val="center"/>
              <w:rPr>
                <w:rFonts w:asciiTheme="minorHAnsi" w:hAnsiTheme="minorHAnsi" w:cstheme="minorHAnsi"/>
                <w:b/>
                <w:color w:val="00B050"/>
                <w:sz w:val="18"/>
                <w:szCs w:val="18"/>
              </w:rPr>
            </w:pPr>
            <w:r w:rsidRPr="00905F97">
              <w:rPr>
                <w:rFonts w:asciiTheme="minorHAnsi" w:hAnsiTheme="minorHAnsi" w:cstheme="minorHAnsi"/>
                <w:b/>
                <w:color w:val="00B050"/>
                <w:sz w:val="18"/>
                <w:szCs w:val="18"/>
              </w:rPr>
              <w:t>+</w:t>
            </w:r>
          </w:p>
          <w:p w14:paraId="478AC32E" w14:textId="52D42F84" w:rsidR="00A512E9" w:rsidRPr="00905F97" w:rsidRDefault="00A512E9" w:rsidP="00905F97">
            <w:pPr>
              <w:spacing w:before="60" w:after="0"/>
              <w:jc w:val="center"/>
              <w:rPr>
                <w:rFonts w:asciiTheme="minorHAnsi" w:hAnsiTheme="minorHAnsi" w:cstheme="minorHAnsi"/>
                <w:b/>
                <w:color w:val="00B050"/>
                <w:sz w:val="18"/>
                <w:szCs w:val="18"/>
              </w:rPr>
            </w:pPr>
            <w:r w:rsidRPr="00133C59">
              <w:rPr>
                <w:rFonts w:asciiTheme="minorHAnsi" w:hAnsiTheme="minorHAnsi" w:cstheme="minorHAnsi"/>
                <w:b/>
                <w:sz w:val="18"/>
                <w:szCs w:val="18"/>
              </w:rPr>
              <w:t xml:space="preserve">As </w:t>
            </w:r>
            <w:r w:rsidR="00905F97" w:rsidRPr="00133C59">
              <w:rPr>
                <w:rFonts w:asciiTheme="minorHAnsi" w:hAnsiTheme="minorHAnsi" w:cstheme="minorHAnsi"/>
                <w:b/>
                <w:sz w:val="18"/>
                <w:szCs w:val="18"/>
              </w:rPr>
              <w:t xml:space="preserve">with Option 2, </w:t>
            </w:r>
            <w:r w:rsidRPr="00133C59">
              <w:rPr>
                <w:rFonts w:asciiTheme="minorHAnsi" w:hAnsiTheme="minorHAnsi" w:cstheme="minorHAnsi"/>
                <w:b/>
                <w:sz w:val="18"/>
                <w:szCs w:val="18"/>
              </w:rPr>
              <w:t>fairness and equity outw</w:t>
            </w:r>
            <w:r w:rsidR="00905F97" w:rsidRPr="00133C59">
              <w:rPr>
                <w:rFonts w:asciiTheme="minorHAnsi" w:hAnsiTheme="minorHAnsi" w:cstheme="minorHAnsi"/>
                <w:b/>
                <w:sz w:val="18"/>
                <w:szCs w:val="18"/>
              </w:rPr>
              <w:t>eigh</w:t>
            </w:r>
            <w:r w:rsidRPr="00133C59">
              <w:rPr>
                <w:rFonts w:asciiTheme="minorHAnsi" w:hAnsiTheme="minorHAnsi" w:cstheme="minorHAnsi"/>
                <w:b/>
                <w:sz w:val="18"/>
                <w:szCs w:val="18"/>
              </w:rPr>
              <w:t xml:space="preserve"> the other considerations</w:t>
            </w:r>
            <w:r w:rsidR="00905F97" w:rsidRPr="00133C59">
              <w:rPr>
                <w:rFonts w:asciiTheme="minorHAnsi" w:hAnsiTheme="minorHAnsi" w:cstheme="minorHAnsi"/>
                <w:b/>
                <w:sz w:val="18"/>
                <w:szCs w:val="18"/>
              </w:rPr>
              <w:t>.  This option is an improvement over Option 2 with respect to the other considerations and is therefore the preferred option</w:t>
            </w:r>
            <w:r w:rsidR="00905F97" w:rsidRPr="00905F97">
              <w:rPr>
                <w:rFonts w:asciiTheme="minorHAnsi" w:hAnsiTheme="minorHAnsi" w:cstheme="minorHAnsi"/>
                <w:b/>
                <w:color w:val="00B050"/>
                <w:sz w:val="18"/>
                <w:szCs w:val="18"/>
              </w:rPr>
              <w:t xml:space="preserve">.  </w:t>
            </w:r>
          </w:p>
        </w:tc>
      </w:tr>
    </w:tbl>
    <w:p w14:paraId="3B02BB3A" w14:textId="77777777" w:rsidR="003142AB" w:rsidRDefault="003142AB" w:rsidP="0049234F">
      <w:pPr>
        <w:pStyle w:val="spacer"/>
      </w:pPr>
    </w:p>
    <w:p w14:paraId="0F645399" w14:textId="77777777" w:rsidR="0049467D" w:rsidRPr="0049467D" w:rsidRDefault="0049467D" w:rsidP="009B05A3">
      <w:pPr>
        <w:spacing w:before="60" w:after="60" w:line="276" w:lineRule="auto"/>
        <w:rPr>
          <w:rFonts w:cs="Arial"/>
          <w:b/>
          <w:sz w:val="20"/>
        </w:rPr>
      </w:pPr>
      <w:r w:rsidRPr="0049467D">
        <w:rPr>
          <w:rFonts w:cs="Arial"/>
          <w:b/>
          <w:sz w:val="20"/>
        </w:rPr>
        <w:t>Key:</w:t>
      </w:r>
    </w:p>
    <w:p w14:paraId="16E7CDFB" w14:textId="77777777" w:rsidR="0062657E" w:rsidRPr="0049467D" w:rsidRDefault="0062657E" w:rsidP="003142AB">
      <w:pPr>
        <w:spacing w:after="0" w:line="276" w:lineRule="auto"/>
        <w:rPr>
          <w:rFonts w:cs="Arial"/>
          <w:sz w:val="20"/>
        </w:rPr>
      </w:pPr>
      <w:r w:rsidRPr="00373CD5">
        <w:rPr>
          <w:rFonts w:cs="Arial"/>
          <w:b/>
          <w:color w:val="00B050"/>
          <w:sz w:val="20"/>
        </w:rPr>
        <w:t>++</w:t>
      </w:r>
      <w:r w:rsidRPr="0049467D">
        <w:rPr>
          <w:rFonts w:cs="Arial"/>
          <w:sz w:val="20"/>
        </w:rPr>
        <w:t xml:space="preserve">  </w:t>
      </w:r>
      <w:r w:rsidRPr="0049467D">
        <w:rPr>
          <w:rFonts w:cs="Arial"/>
          <w:sz w:val="20"/>
        </w:rPr>
        <w:tab/>
        <w:t>much better than doing nothing/the status quo</w:t>
      </w:r>
    </w:p>
    <w:p w14:paraId="55D5CEE7" w14:textId="77777777" w:rsidR="0062657E" w:rsidRPr="0049467D" w:rsidRDefault="0062657E" w:rsidP="003142AB">
      <w:pPr>
        <w:spacing w:after="0" w:line="276" w:lineRule="auto"/>
        <w:rPr>
          <w:rFonts w:cs="Arial"/>
          <w:sz w:val="20"/>
        </w:rPr>
      </w:pPr>
      <w:r w:rsidRPr="00373CD5">
        <w:rPr>
          <w:rFonts w:cs="Arial"/>
          <w:b/>
          <w:color w:val="00B050"/>
          <w:sz w:val="20"/>
        </w:rPr>
        <w:t>+</w:t>
      </w:r>
      <w:r w:rsidRPr="00373CD5">
        <w:rPr>
          <w:rFonts w:cs="Arial"/>
          <w:color w:val="00B050"/>
          <w:sz w:val="20"/>
        </w:rPr>
        <w:t xml:space="preserve"> </w:t>
      </w:r>
      <w:r w:rsidRPr="0049467D">
        <w:rPr>
          <w:rFonts w:cs="Arial"/>
          <w:sz w:val="20"/>
        </w:rPr>
        <w:t xml:space="preserve"> </w:t>
      </w:r>
      <w:r w:rsidRPr="0049467D">
        <w:rPr>
          <w:rFonts w:cs="Arial"/>
          <w:sz w:val="20"/>
        </w:rPr>
        <w:tab/>
        <w:t>better than doing nothing/the status quo</w:t>
      </w:r>
    </w:p>
    <w:p w14:paraId="066F6104" w14:textId="77777777" w:rsidR="0062657E" w:rsidRPr="0049467D" w:rsidRDefault="0062657E" w:rsidP="003142AB">
      <w:pPr>
        <w:spacing w:after="0" w:line="276" w:lineRule="auto"/>
        <w:rPr>
          <w:rFonts w:cs="Arial"/>
          <w:sz w:val="20"/>
        </w:rPr>
      </w:pPr>
      <w:r w:rsidRPr="0049467D">
        <w:rPr>
          <w:rFonts w:cs="Arial"/>
          <w:b/>
          <w:sz w:val="20"/>
        </w:rPr>
        <w:t>0</w:t>
      </w:r>
      <w:r w:rsidRPr="0049467D">
        <w:rPr>
          <w:rFonts w:cs="Arial"/>
          <w:sz w:val="20"/>
        </w:rPr>
        <w:t xml:space="preserve">  </w:t>
      </w:r>
      <w:r w:rsidRPr="0049467D">
        <w:rPr>
          <w:rFonts w:cs="Arial"/>
          <w:sz w:val="20"/>
        </w:rPr>
        <w:tab/>
        <w:t>about the same as doing nothing/the status quo</w:t>
      </w:r>
    </w:p>
    <w:p w14:paraId="79E99BE9" w14:textId="77777777" w:rsidR="0062657E" w:rsidRPr="0049467D" w:rsidRDefault="0062657E" w:rsidP="003142AB">
      <w:pPr>
        <w:spacing w:after="0" w:line="276" w:lineRule="auto"/>
        <w:rPr>
          <w:rFonts w:cs="Arial"/>
          <w:sz w:val="20"/>
        </w:rPr>
      </w:pPr>
      <w:r w:rsidRPr="00373CD5">
        <w:rPr>
          <w:rFonts w:cs="Arial"/>
          <w:b/>
          <w:color w:val="FF0000"/>
          <w:sz w:val="20"/>
        </w:rPr>
        <w:t>-</w:t>
      </w:r>
      <w:r w:rsidRPr="0049467D">
        <w:rPr>
          <w:rFonts w:cs="Arial"/>
          <w:sz w:val="20"/>
        </w:rPr>
        <w:t xml:space="preserve"> </w:t>
      </w:r>
      <w:r w:rsidRPr="0049467D">
        <w:rPr>
          <w:rFonts w:cs="Arial"/>
          <w:sz w:val="20"/>
        </w:rPr>
        <w:tab/>
        <w:t>worse than doing nothing/the status quo</w:t>
      </w:r>
    </w:p>
    <w:p w14:paraId="4155F832" w14:textId="572C22DE" w:rsidR="00CB06D3" w:rsidRDefault="0062657E" w:rsidP="00171C82">
      <w:pPr>
        <w:spacing w:after="0" w:line="276" w:lineRule="auto"/>
        <w:rPr>
          <w:rFonts w:ascii="Arial Narrow" w:hAnsi="Arial Narrow"/>
          <w:i/>
          <w:sz w:val="20"/>
        </w:rPr>
      </w:pPr>
      <w:r w:rsidRPr="00373CD5">
        <w:rPr>
          <w:rFonts w:cs="Arial"/>
          <w:b/>
          <w:color w:val="FF0000"/>
          <w:sz w:val="20"/>
        </w:rPr>
        <w:t>- -</w:t>
      </w:r>
      <w:r w:rsidRPr="0049467D">
        <w:rPr>
          <w:rFonts w:cs="Arial"/>
          <w:sz w:val="20"/>
        </w:rPr>
        <w:t xml:space="preserve"> </w:t>
      </w:r>
      <w:r w:rsidRPr="0049467D">
        <w:rPr>
          <w:rFonts w:cs="Arial"/>
          <w:sz w:val="20"/>
        </w:rPr>
        <w:tab/>
        <w:t>much worse than doing nothing/the status quo</w:t>
      </w:r>
    </w:p>
    <w:p w14:paraId="1A1F7D7E" w14:textId="170ECD8F" w:rsidR="00CB06D3" w:rsidRPr="00CB06D3" w:rsidRDefault="00CB06D3" w:rsidP="0049467D">
      <w:pPr>
        <w:spacing w:after="120" w:line="276" w:lineRule="auto"/>
        <w:rPr>
          <w:rFonts w:ascii="Arial Narrow" w:hAnsi="Arial Narrow"/>
          <w:sz w:val="20"/>
        </w:rPr>
        <w:sectPr w:rsidR="00CB06D3" w:rsidRPr="00CB06D3" w:rsidSect="00FE1832">
          <w:pgSz w:w="16838" w:h="11906" w:orient="landscape"/>
          <w:pgMar w:top="1134" w:right="1418" w:bottom="992" w:left="1418" w:header="709" w:footer="709" w:gutter="0"/>
          <w:cols w:space="708"/>
          <w:docGrid w:linePitch="360"/>
        </w:sectPr>
      </w:pPr>
    </w:p>
    <w:p w14:paraId="1A39CDA8"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5:  Conclusions</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52"/>
      </w:tblGrid>
      <w:tr w:rsidR="0049467D" w:rsidRPr="0049467D" w14:paraId="5016C84B" w14:textId="77777777" w:rsidTr="004A11FC">
        <w:trPr>
          <w:trHeight w:val="529"/>
        </w:trPr>
        <w:tc>
          <w:tcPr>
            <w:tcW w:w="9052" w:type="dxa"/>
            <w:shd w:val="clear" w:color="auto" w:fill="99CDDD"/>
          </w:tcPr>
          <w:p w14:paraId="36936858" w14:textId="77777777" w:rsidR="0062657E" w:rsidRPr="0049467D" w:rsidRDefault="0062657E" w:rsidP="00DF2E7B">
            <w:pPr>
              <w:spacing w:before="60" w:after="60" w:line="240" w:lineRule="auto"/>
              <w:rPr>
                <w:rFonts w:cs="Arial"/>
                <w:b/>
                <w:szCs w:val="22"/>
                <w:lang w:eastAsia="en-AU"/>
              </w:rPr>
            </w:pPr>
            <w:r w:rsidRPr="0049467D">
              <w:rPr>
                <w:rFonts w:cs="Arial"/>
                <w:b/>
                <w:szCs w:val="22"/>
                <w:lang w:eastAsia="en-AU"/>
              </w:rPr>
              <w:br w:type="page"/>
              <w:t>5.1   What option, or combination of options, is likely best to address the problem, meet the policy objectives and deliver the highest net benefits?</w:t>
            </w:r>
          </w:p>
        </w:tc>
      </w:tr>
      <w:tr w:rsidR="0049467D" w:rsidRPr="0049467D" w14:paraId="0540C394" w14:textId="77777777" w:rsidTr="00053E2D">
        <w:trPr>
          <w:trHeight w:val="1167"/>
        </w:trPr>
        <w:tc>
          <w:tcPr>
            <w:tcW w:w="9052" w:type="dxa"/>
            <w:shd w:val="clear" w:color="auto" w:fill="FFFFFF"/>
          </w:tcPr>
          <w:p w14:paraId="5C0BCBBC" w14:textId="63EDA228" w:rsidR="007D59F2" w:rsidRDefault="007833D2" w:rsidP="00BA316C">
            <w:pPr>
              <w:pStyle w:val="TableText"/>
              <w:numPr>
                <w:ilvl w:val="2"/>
                <w:numId w:val="9"/>
              </w:numPr>
              <w:spacing w:before="240" w:after="240" w:line="276" w:lineRule="auto"/>
              <w:rPr>
                <w:rFonts w:cs="Arial"/>
                <w:sz w:val="22"/>
              </w:rPr>
            </w:pPr>
            <w:r w:rsidRPr="00E74CC1">
              <w:rPr>
                <w:rFonts w:cs="Arial"/>
                <w:sz w:val="22"/>
              </w:rPr>
              <w:t>Officials consider the</w:t>
            </w:r>
            <w:r w:rsidR="007D59F2" w:rsidRPr="00E74CC1">
              <w:rPr>
                <w:rFonts w:cs="Arial"/>
                <w:sz w:val="22"/>
              </w:rPr>
              <w:t xml:space="preserve"> preferred option is </w:t>
            </w:r>
            <w:r w:rsidR="00D7086D" w:rsidRPr="00D7086D">
              <w:rPr>
                <w:rFonts w:cs="Arial"/>
                <w:b/>
                <w:sz w:val="22"/>
              </w:rPr>
              <w:t xml:space="preserve">Option </w:t>
            </w:r>
            <w:r w:rsidR="00A0616B">
              <w:rPr>
                <w:rFonts w:cs="Arial"/>
                <w:b/>
                <w:sz w:val="22"/>
              </w:rPr>
              <w:t>3</w:t>
            </w:r>
            <w:r w:rsidR="00D7086D" w:rsidRPr="00D7086D">
              <w:rPr>
                <w:rFonts w:cs="Arial"/>
                <w:b/>
                <w:sz w:val="22"/>
              </w:rPr>
              <w:t>: Design options reflecting submissions received on the officials’ issues paper</w:t>
            </w:r>
            <w:r w:rsidR="00D7086D" w:rsidRPr="00D7086D">
              <w:rPr>
                <w:rFonts w:cs="Arial"/>
                <w:sz w:val="22"/>
              </w:rPr>
              <w:t>.</w:t>
            </w:r>
            <w:r w:rsidR="00D7086D">
              <w:rPr>
                <w:rFonts w:cs="Arial"/>
                <w:sz w:val="22"/>
              </w:rPr>
              <w:t xml:space="preserve"> </w:t>
            </w:r>
            <w:r w:rsidR="009104D7" w:rsidRPr="00D7086D">
              <w:rPr>
                <w:rFonts w:cs="Arial"/>
                <w:sz w:val="22"/>
              </w:rPr>
              <w:t>The reasons th</w:t>
            </w:r>
            <w:r w:rsidR="00D7086D" w:rsidRPr="00D7086D">
              <w:rPr>
                <w:rFonts w:cs="Arial"/>
                <w:sz w:val="22"/>
              </w:rPr>
              <w:t>is</w:t>
            </w:r>
            <w:r w:rsidR="009104D7" w:rsidRPr="00D7086D">
              <w:rPr>
                <w:rFonts w:cs="Arial"/>
                <w:sz w:val="22"/>
              </w:rPr>
              <w:t xml:space="preserve"> option </w:t>
            </w:r>
            <w:r w:rsidR="002E117C">
              <w:rPr>
                <w:rFonts w:cs="Arial"/>
                <w:sz w:val="22"/>
              </w:rPr>
              <w:t>i</w:t>
            </w:r>
            <w:r w:rsidR="00D7086D" w:rsidRPr="00D7086D">
              <w:rPr>
                <w:rFonts w:cs="Arial"/>
                <w:sz w:val="22"/>
              </w:rPr>
              <w:t>s</w:t>
            </w:r>
            <w:r w:rsidR="009104D7" w:rsidRPr="00D7086D">
              <w:rPr>
                <w:rFonts w:cs="Arial"/>
                <w:sz w:val="22"/>
              </w:rPr>
              <w:t xml:space="preserve"> the preferred approach are discussed below</w:t>
            </w:r>
            <w:r w:rsidR="00447126" w:rsidRPr="00D7086D">
              <w:rPr>
                <w:rFonts w:cs="Arial"/>
                <w:sz w:val="22"/>
              </w:rPr>
              <w:t>.</w:t>
            </w:r>
          </w:p>
          <w:p w14:paraId="252DE42E" w14:textId="1982E131" w:rsidR="00D7086D" w:rsidRPr="00184ABC" w:rsidRDefault="00184ABC" w:rsidP="00D7086D">
            <w:pPr>
              <w:pStyle w:val="TableText"/>
              <w:spacing w:before="240" w:after="240" w:line="276" w:lineRule="auto"/>
              <w:rPr>
                <w:rFonts w:cs="Arial"/>
                <w:b/>
                <w:i/>
                <w:sz w:val="22"/>
              </w:rPr>
            </w:pPr>
            <w:r>
              <w:rPr>
                <w:rFonts w:cs="Arial"/>
                <w:b/>
                <w:i/>
                <w:sz w:val="22"/>
              </w:rPr>
              <w:t>Land within the scope of the proposed ring-fencing rules</w:t>
            </w:r>
          </w:p>
          <w:p w14:paraId="0EBCF6ED" w14:textId="1051F360" w:rsidR="009104D7" w:rsidRDefault="009E6DE4" w:rsidP="00DA18DA">
            <w:pPr>
              <w:pStyle w:val="TableText"/>
              <w:numPr>
                <w:ilvl w:val="2"/>
                <w:numId w:val="9"/>
              </w:numPr>
              <w:spacing w:before="240" w:after="240" w:line="276" w:lineRule="auto"/>
              <w:ind w:left="709" w:hanging="709"/>
              <w:rPr>
                <w:sz w:val="22"/>
              </w:rPr>
            </w:pPr>
            <w:r w:rsidRPr="009E6DE4">
              <w:rPr>
                <w:rFonts w:cs="Arial"/>
                <w:sz w:val="22"/>
              </w:rPr>
              <w:t>As noted above, the proposed loss ring-fencing rules are to apply to residential land as already defined</w:t>
            </w:r>
            <w:r w:rsidRPr="009E6DE4">
              <w:rPr>
                <w:sz w:val="22"/>
              </w:rPr>
              <w:t xml:space="preserve"> in the </w:t>
            </w:r>
            <w:r w:rsidRPr="009E6DE4">
              <w:rPr>
                <w:color w:val="000000"/>
                <w:sz w:val="22"/>
              </w:rPr>
              <w:t>Income</w:t>
            </w:r>
            <w:r w:rsidRPr="009E6DE4">
              <w:rPr>
                <w:sz w:val="22"/>
              </w:rPr>
              <w:t xml:space="preserve"> Tax Act 2007.  For the reasons discussed below, we consider that the main home, mixed-use land, certain revenue account land</w:t>
            </w:r>
            <w:r w:rsidR="00C82729">
              <w:rPr>
                <w:sz w:val="22"/>
              </w:rPr>
              <w:t xml:space="preserve">, </w:t>
            </w:r>
            <w:r w:rsidR="00C82729" w:rsidRPr="00A0616B">
              <w:rPr>
                <w:sz w:val="22"/>
              </w:rPr>
              <w:t>land owned by widely-held companies, and employee and farming accommodation</w:t>
            </w:r>
            <w:r w:rsidRPr="009E6DE4">
              <w:rPr>
                <w:sz w:val="22"/>
              </w:rPr>
              <w:t xml:space="preserve"> should be excluded from the scope of the rules, and that land owned by companies and trusts should not be excluded.</w:t>
            </w:r>
          </w:p>
          <w:p w14:paraId="2C8C6176" w14:textId="72286EE2" w:rsidR="00192F1A" w:rsidRPr="009E6DE4" w:rsidRDefault="00192F1A" w:rsidP="00DA18DA">
            <w:pPr>
              <w:pStyle w:val="TableText"/>
              <w:numPr>
                <w:ilvl w:val="2"/>
                <w:numId w:val="9"/>
              </w:numPr>
              <w:spacing w:before="240" w:after="240" w:line="276" w:lineRule="auto"/>
              <w:ind w:left="709" w:hanging="709"/>
              <w:rPr>
                <w:sz w:val="22"/>
              </w:rPr>
            </w:pPr>
            <w:r>
              <w:rPr>
                <w:sz w:val="22"/>
              </w:rPr>
              <w:t>It is noted that all of th</w:t>
            </w:r>
            <w:r w:rsidR="00184ABC">
              <w:rPr>
                <w:sz w:val="22"/>
              </w:rPr>
              <w:t xml:space="preserve">is option is </w:t>
            </w:r>
            <w:r w:rsidR="00C30216">
              <w:rPr>
                <w:sz w:val="22"/>
              </w:rPr>
              <w:t xml:space="preserve">generally </w:t>
            </w:r>
            <w:r>
              <w:rPr>
                <w:sz w:val="22"/>
              </w:rPr>
              <w:t>neutral as compared to the status quo</w:t>
            </w:r>
            <w:r w:rsidR="007D1E66">
              <w:rPr>
                <w:sz w:val="22"/>
              </w:rPr>
              <w:t xml:space="preserve"> (no change from the current rules), because all of these options are around what land should be outside the scope of the proposed loss ring-fencing rules – which means the current treatment would remain applicable.</w:t>
            </w:r>
            <w:r w:rsidR="00C30216">
              <w:rPr>
                <w:sz w:val="22"/>
              </w:rPr>
              <w:t xml:space="preserve">  </w:t>
            </w:r>
          </w:p>
          <w:p w14:paraId="3314F5E3" w14:textId="6C978895" w:rsidR="000B797C" w:rsidRPr="00184ABC" w:rsidRDefault="000B797C" w:rsidP="00E74CC1">
            <w:pPr>
              <w:pStyle w:val="TableText"/>
              <w:spacing w:before="240" w:after="240" w:line="276" w:lineRule="auto"/>
              <w:rPr>
                <w:i/>
                <w:sz w:val="22"/>
                <w:szCs w:val="20"/>
              </w:rPr>
            </w:pPr>
            <w:r w:rsidRPr="00184ABC">
              <w:rPr>
                <w:i/>
                <w:sz w:val="22"/>
                <w:szCs w:val="20"/>
              </w:rPr>
              <w:t>Main home</w:t>
            </w:r>
          </w:p>
          <w:p w14:paraId="125A0AC8" w14:textId="3BA05D0F" w:rsidR="005C6460" w:rsidRDefault="00D60F66" w:rsidP="00DA18DA">
            <w:pPr>
              <w:pStyle w:val="TableText"/>
              <w:numPr>
                <w:ilvl w:val="2"/>
                <w:numId w:val="9"/>
              </w:numPr>
              <w:spacing w:before="240" w:after="240" w:line="276" w:lineRule="auto"/>
              <w:ind w:left="709" w:hanging="709"/>
              <w:rPr>
                <w:sz w:val="22"/>
              </w:rPr>
            </w:pPr>
            <w:r>
              <w:rPr>
                <w:sz w:val="22"/>
              </w:rPr>
              <w:t xml:space="preserve">As </w:t>
            </w:r>
            <w:r w:rsidRPr="005F70B6">
              <w:rPr>
                <w:rFonts w:cs="Arial"/>
                <w:sz w:val="22"/>
              </w:rPr>
              <w:t>noted</w:t>
            </w:r>
            <w:r>
              <w:rPr>
                <w:sz w:val="22"/>
              </w:rPr>
              <w:t xml:space="preserve"> above, t</w:t>
            </w:r>
            <w:r w:rsidR="000B797C" w:rsidRPr="0002425B">
              <w:rPr>
                <w:sz w:val="22"/>
              </w:rPr>
              <w:t xml:space="preserve">he </w:t>
            </w:r>
            <w:r w:rsidR="000B797C">
              <w:rPr>
                <w:sz w:val="22"/>
              </w:rPr>
              <w:t xml:space="preserve">concern the proposed ring-fencing rules are aimed at addressing is </w:t>
            </w:r>
            <w:r w:rsidR="00FA0895">
              <w:rPr>
                <w:sz w:val="22"/>
              </w:rPr>
              <w:t>the</w:t>
            </w:r>
            <w:r w:rsidR="000B797C">
              <w:rPr>
                <w:sz w:val="22"/>
              </w:rPr>
              <w:t xml:space="preserve"> uneven</w:t>
            </w:r>
            <w:r w:rsidR="000B797C" w:rsidRPr="0002425B">
              <w:rPr>
                <w:sz w:val="22"/>
              </w:rPr>
              <w:t xml:space="preserve"> playing field between property speculators/investors and owner-occupiers</w:t>
            </w:r>
            <w:r w:rsidR="000B797C">
              <w:rPr>
                <w:sz w:val="22"/>
              </w:rPr>
              <w:t>.</w:t>
            </w:r>
            <w:r w:rsidR="00BC09D5">
              <w:rPr>
                <w:sz w:val="22"/>
              </w:rPr>
              <w:t xml:space="preserve">  This is because rental losses can be used by investors to reduce their tax on income from other sources – effectively subsidising part of the </w:t>
            </w:r>
            <w:r w:rsidR="00BC09D5" w:rsidRPr="0002425B">
              <w:rPr>
                <w:sz w:val="22"/>
              </w:rPr>
              <w:t>cost of their mortgages,</w:t>
            </w:r>
            <w:r w:rsidR="00BC09D5">
              <w:rPr>
                <w:sz w:val="22"/>
              </w:rPr>
              <w:t xml:space="preserve"> and</w:t>
            </w:r>
            <w:r w:rsidR="00BC09D5" w:rsidRPr="0002425B">
              <w:rPr>
                <w:sz w:val="22"/>
              </w:rPr>
              <w:t xml:space="preserve"> helping them to outbid owner-occupiers for properties.</w:t>
            </w:r>
            <w:r w:rsidR="000B797C">
              <w:rPr>
                <w:sz w:val="22"/>
              </w:rPr>
              <w:t xml:space="preserve">  </w:t>
            </w:r>
          </w:p>
          <w:p w14:paraId="14659AC1" w14:textId="5AC27C9C" w:rsidR="005C6460" w:rsidRDefault="000B797C" w:rsidP="00DA18DA">
            <w:pPr>
              <w:pStyle w:val="TableText"/>
              <w:numPr>
                <w:ilvl w:val="2"/>
                <w:numId w:val="9"/>
              </w:numPr>
              <w:spacing w:before="240" w:after="240" w:line="276" w:lineRule="auto"/>
              <w:ind w:left="709" w:hanging="709"/>
              <w:rPr>
                <w:sz w:val="22"/>
              </w:rPr>
            </w:pPr>
            <w:r>
              <w:rPr>
                <w:sz w:val="22"/>
              </w:rPr>
              <w:t xml:space="preserve">The </w:t>
            </w:r>
            <w:r w:rsidRPr="005F70B6">
              <w:rPr>
                <w:rFonts w:cs="Arial"/>
                <w:sz w:val="22"/>
              </w:rPr>
              <w:t>focus</w:t>
            </w:r>
            <w:r>
              <w:rPr>
                <w:sz w:val="22"/>
              </w:rPr>
              <w:t xml:space="preserve"> of the proposed rules is on loss-making rental properties</w:t>
            </w:r>
            <w:r w:rsidR="00D60F66">
              <w:rPr>
                <w:sz w:val="22"/>
              </w:rPr>
              <w:t xml:space="preserve">, so it is recommended that a taxpayer’s main </w:t>
            </w:r>
            <w:r w:rsidR="00706A66">
              <w:rPr>
                <w:sz w:val="22"/>
              </w:rPr>
              <w:t xml:space="preserve">home </w:t>
            </w:r>
            <w:r w:rsidR="00D60F66">
              <w:rPr>
                <w:sz w:val="22"/>
              </w:rPr>
              <w:t>be specifically excluded from the scope of the rules.</w:t>
            </w:r>
            <w:r w:rsidR="00670B15">
              <w:rPr>
                <w:sz w:val="22"/>
              </w:rPr>
              <w:t xml:space="preserve">  </w:t>
            </w:r>
            <w:r w:rsidR="00425E0F" w:rsidRPr="00A0616B">
              <w:rPr>
                <w:sz w:val="22"/>
              </w:rPr>
              <w:t>Submitters on the officials’ issues paper have</w:t>
            </w:r>
            <w:r w:rsidR="00670B15" w:rsidRPr="00A0616B">
              <w:rPr>
                <w:sz w:val="22"/>
              </w:rPr>
              <w:t xml:space="preserve"> indicated that they agreed with this approach.</w:t>
            </w:r>
            <w:r w:rsidR="00D60F66">
              <w:rPr>
                <w:sz w:val="22"/>
              </w:rPr>
              <w:t xml:space="preserve">  </w:t>
            </w:r>
          </w:p>
          <w:p w14:paraId="2919C9E9" w14:textId="669FEEB3" w:rsidR="005C6460" w:rsidRDefault="00D60F66" w:rsidP="00DA18DA">
            <w:pPr>
              <w:pStyle w:val="TableText"/>
              <w:numPr>
                <w:ilvl w:val="2"/>
                <w:numId w:val="9"/>
              </w:numPr>
              <w:spacing w:before="240" w:after="240" w:line="276" w:lineRule="auto"/>
              <w:ind w:left="709" w:hanging="709"/>
              <w:rPr>
                <w:sz w:val="22"/>
              </w:rPr>
            </w:pPr>
            <w:r>
              <w:rPr>
                <w:sz w:val="22"/>
              </w:rPr>
              <w:t xml:space="preserve">While </w:t>
            </w:r>
            <w:r w:rsidRPr="005F70B6">
              <w:rPr>
                <w:rFonts w:cs="Arial"/>
                <w:sz w:val="22"/>
              </w:rPr>
              <w:t>part</w:t>
            </w:r>
            <w:r>
              <w:rPr>
                <w:sz w:val="22"/>
              </w:rPr>
              <w:t xml:space="preserve"> of someone’s main home may be rented out, and this activity could generate a loss, it is not considered that such a situation contributes to an uneven playing field between investors </w:t>
            </w:r>
            <w:r w:rsidR="00421D7F">
              <w:rPr>
                <w:sz w:val="22"/>
              </w:rPr>
              <w:t>who buy</w:t>
            </w:r>
            <w:r w:rsidR="00421D7F" w:rsidRPr="008458C1">
              <w:rPr>
                <w:sz w:val="22"/>
              </w:rPr>
              <w:t xml:space="preserve"> property in anticipation of capital gain</w:t>
            </w:r>
            <w:r w:rsidR="00421D7F">
              <w:rPr>
                <w:sz w:val="22"/>
              </w:rPr>
              <w:t xml:space="preserve"> </w:t>
            </w:r>
            <w:r>
              <w:rPr>
                <w:sz w:val="22"/>
              </w:rPr>
              <w:t xml:space="preserve">and owner-occupiers.  </w:t>
            </w:r>
          </w:p>
          <w:p w14:paraId="32A82D82" w14:textId="1806413A" w:rsidR="000B797C" w:rsidRDefault="00706A66" w:rsidP="00DA18DA">
            <w:pPr>
              <w:pStyle w:val="TableText"/>
              <w:numPr>
                <w:ilvl w:val="2"/>
                <w:numId w:val="9"/>
              </w:numPr>
              <w:spacing w:before="240" w:after="240" w:line="276" w:lineRule="auto"/>
              <w:ind w:left="709" w:hanging="709"/>
              <w:rPr>
                <w:sz w:val="22"/>
              </w:rPr>
            </w:pPr>
            <w:r>
              <w:rPr>
                <w:sz w:val="22"/>
              </w:rPr>
              <w:t>We</w:t>
            </w:r>
            <w:r w:rsidR="00D60F66">
              <w:rPr>
                <w:sz w:val="22"/>
              </w:rPr>
              <w:t xml:space="preserve"> </w:t>
            </w:r>
            <w:r w:rsidR="00D60F66" w:rsidRPr="00DA18DA">
              <w:rPr>
                <w:rFonts w:cs="Arial"/>
                <w:sz w:val="22"/>
              </w:rPr>
              <w:t>suggest</w:t>
            </w:r>
            <w:r w:rsidR="00D60F66">
              <w:rPr>
                <w:sz w:val="22"/>
              </w:rPr>
              <w:t xml:space="preserve"> that the concept of a “main home” mirror that used for the purposes of the bright-line test – which would mean that </w:t>
            </w:r>
            <w:r w:rsidR="005C6460">
              <w:rPr>
                <w:sz w:val="22"/>
              </w:rPr>
              <w:t xml:space="preserve">a person can have only one main home, and that to qualify for the exclusion </w:t>
            </w:r>
            <w:r w:rsidR="00D60F66">
              <w:rPr>
                <w:sz w:val="22"/>
              </w:rPr>
              <w:t>the property has to be used predominantly as the person’s main home.  However, we</w:t>
            </w:r>
            <w:r w:rsidR="005C6460">
              <w:rPr>
                <w:sz w:val="22"/>
              </w:rPr>
              <w:t xml:space="preserve"> suggest one difference from the bright-line main home exclusion, in that a qualifying property should be used predominantly as the person’s main home for most of the income year</w:t>
            </w:r>
            <w:r w:rsidR="00D60F66">
              <w:rPr>
                <w:sz w:val="22"/>
              </w:rPr>
              <w:t xml:space="preserve"> </w:t>
            </w:r>
            <w:r w:rsidR="005C6460">
              <w:rPr>
                <w:sz w:val="22"/>
              </w:rPr>
              <w:t xml:space="preserve">in question, rather than for most of the time the person owns the property (which is the case for the bright-line main home exclusion).  This makes more sense in the context of loss ring-fencing, as the focus </w:t>
            </w:r>
            <w:r>
              <w:rPr>
                <w:sz w:val="22"/>
              </w:rPr>
              <w:t xml:space="preserve">is </w:t>
            </w:r>
            <w:r w:rsidR="005C6460">
              <w:rPr>
                <w:sz w:val="22"/>
              </w:rPr>
              <w:t xml:space="preserve">not on the length of ownership, but on </w:t>
            </w:r>
            <w:r w:rsidR="005C6460">
              <w:rPr>
                <w:sz w:val="22"/>
              </w:rPr>
              <w:lastRenderedPageBreak/>
              <w:t>the use of the property.</w:t>
            </w:r>
          </w:p>
          <w:p w14:paraId="79E89564" w14:textId="1432CC97" w:rsidR="000B797C" w:rsidRPr="00184ABC" w:rsidRDefault="000B797C" w:rsidP="00E74CC1">
            <w:pPr>
              <w:pStyle w:val="TableText"/>
              <w:spacing w:before="240" w:after="240" w:line="276" w:lineRule="auto"/>
              <w:rPr>
                <w:i/>
                <w:sz w:val="22"/>
                <w:szCs w:val="20"/>
              </w:rPr>
            </w:pPr>
            <w:r w:rsidRPr="00184ABC">
              <w:rPr>
                <w:i/>
                <w:sz w:val="22"/>
                <w:szCs w:val="20"/>
              </w:rPr>
              <w:t>Mixed-use land</w:t>
            </w:r>
          </w:p>
          <w:p w14:paraId="78E6A2E6" w14:textId="3B503320" w:rsidR="000B797C" w:rsidRPr="006D4FA0" w:rsidRDefault="006D4FA0" w:rsidP="00DA18DA">
            <w:pPr>
              <w:pStyle w:val="TableText"/>
              <w:numPr>
                <w:ilvl w:val="2"/>
                <w:numId w:val="9"/>
              </w:numPr>
              <w:spacing w:before="240" w:after="240" w:line="276" w:lineRule="auto"/>
              <w:ind w:left="709" w:hanging="709"/>
              <w:rPr>
                <w:sz w:val="22"/>
              </w:rPr>
            </w:pPr>
            <w:r w:rsidRPr="006D4FA0">
              <w:rPr>
                <w:sz w:val="22"/>
              </w:rPr>
              <w:t xml:space="preserve">The </w:t>
            </w:r>
            <w:r w:rsidRPr="005F70B6">
              <w:rPr>
                <w:rFonts w:cs="Arial"/>
                <w:sz w:val="22"/>
              </w:rPr>
              <w:t>existing</w:t>
            </w:r>
            <w:r w:rsidRPr="006D4FA0">
              <w:rPr>
                <w:sz w:val="22"/>
              </w:rPr>
              <w:t xml:space="preserve"> definition of “residential land” would also include holiday houses that are sometimes used privately and sometimes rented out.  Many such properties would be subject to the mixed-use asset rules.</w:t>
            </w:r>
          </w:p>
          <w:p w14:paraId="232A1841" w14:textId="62758D2B" w:rsidR="006D4FA0" w:rsidRPr="00053E2D" w:rsidRDefault="006D4FA0" w:rsidP="00DA18DA">
            <w:pPr>
              <w:pStyle w:val="TableText"/>
              <w:numPr>
                <w:ilvl w:val="2"/>
                <w:numId w:val="9"/>
              </w:numPr>
              <w:spacing w:before="240" w:after="240" w:line="276" w:lineRule="auto"/>
              <w:ind w:left="709" w:hanging="709"/>
              <w:rPr>
                <w:color w:val="000000"/>
                <w:sz w:val="22"/>
              </w:rPr>
            </w:pPr>
            <w:r w:rsidRPr="00053E2D">
              <w:rPr>
                <w:sz w:val="22"/>
              </w:rPr>
              <w:t xml:space="preserve">The </w:t>
            </w:r>
            <w:r w:rsidRPr="00053E2D">
              <w:rPr>
                <w:rFonts w:cs="Arial"/>
                <w:sz w:val="22"/>
              </w:rPr>
              <w:t>mixed</w:t>
            </w:r>
            <w:r w:rsidRPr="00053E2D">
              <w:rPr>
                <w:sz w:val="22"/>
              </w:rPr>
              <w:t>-use asset rules provide for th</w:t>
            </w:r>
            <w:r w:rsidR="00053E2D" w:rsidRPr="00053E2D">
              <w:rPr>
                <w:sz w:val="22"/>
              </w:rPr>
              <w:t xml:space="preserve">e apportionment of expenditure.  </w:t>
            </w:r>
            <w:r w:rsidR="00053E2D">
              <w:rPr>
                <w:sz w:val="22"/>
              </w:rPr>
              <w:t>N</w:t>
            </w:r>
            <w:r w:rsidRPr="00053E2D">
              <w:rPr>
                <w:rFonts w:cs="Arial"/>
                <w:sz w:val="22"/>
              </w:rPr>
              <w:t>otwithstanding</w:t>
            </w:r>
            <w:r w:rsidRPr="00053E2D">
              <w:rPr>
                <w:sz w:val="22"/>
              </w:rPr>
              <w:t xml:space="preserve"> the apportionment formula, a tax loss can still arise for a mixed-use asset.  This is more likely to occur when the income-earning use of the asset is low.  Therefore, the mixed-use assets rules quarantine (or ring-fence) losses where there is low income-earning use of an asset.  Under the quarantining rules, </w:t>
            </w:r>
            <w:r w:rsidRPr="00053E2D">
              <w:rPr>
                <w:color w:val="000000"/>
                <w:sz w:val="22"/>
              </w:rPr>
              <w:t>a person who is in an occasional loss position will not be able to offset their loss against other income in the current year, but will be able to use it against their future profits from the mixed-use asset.  However, a person who is in perpetual loss will never have future profits to offset the loss</w:t>
            </w:r>
            <w:r w:rsidR="0079669D" w:rsidRPr="00053E2D">
              <w:rPr>
                <w:color w:val="000000"/>
                <w:sz w:val="22"/>
              </w:rPr>
              <w:t>es</w:t>
            </w:r>
            <w:r w:rsidRPr="00053E2D">
              <w:rPr>
                <w:color w:val="000000"/>
                <w:sz w:val="22"/>
              </w:rPr>
              <w:t xml:space="preserve"> against, and will therefore not be able to utilise </w:t>
            </w:r>
            <w:r w:rsidR="0079669D" w:rsidRPr="00053E2D">
              <w:rPr>
                <w:color w:val="000000"/>
                <w:sz w:val="22"/>
              </w:rPr>
              <w:t>them</w:t>
            </w:r>
            <w:r w:rsidRPr="00053E2D">
              <w:rPr>
                <w:color w:val="000000"/>
                <w:sz w:val="22"/>
              </w:rPr>
              <w:t>.</w:t>
            </w:r>
          </w:p>
          <w:p w14:paraId="266D10FD" w14:textId="7497E8A5" w:rsidR="006D4FA0" w:rsidRPr="006D4FA0" w:rsidRDefault="00A0616B" w:rsidP="00DA18DA">
            <w:pPr>
              <w:pStyle w:val="TableText"/>
              <w:numPr>
                <w:ilvl w:val="2"/>
                <w:numId w:val="9"/>
              </w:numPr>
              <w:spacing w:before="240" w:after="240" w:line="276" w:lineRule="auto"/>
              <w:ind w:left="709" w:hanging="709"/>
              <w:rPr>
                <w:sz w:val="22"/>
              </w:rPr>
            </w:pPr>
            <w:r>
              <w:rPr>
                <w:sz w:val="22"/>
              </w:rPr>
              <w:t>P</w:t>
            </w:r>
            <w:r w:rsidR="006D4FA0" w:rsidRPr="006D4FA0">
              <w:rPr>
                <w:sz w:val="22"/>
              </w:rPr>
              <w:t xml:space="preserve">roperty subject to the mixed-use asset rules should be scoped out of the ring-fencing rules, because the mixed-use asset rules will cover most if not all mixed-use asset losses. </w:t>
            </w:r>
          </w:p>
          <w:p w14:paraId="330CEAB1" w14:textId="7BDF7353" w:rsidR="000B797C" w:rsidRPr="00184ABC" w:rsidRDefault="000B797C" w:rsidP="00E74CC1">
            <w:pPr>
              <w:pStyle w:val="TableText"/>
              <w:spacing w:before="240" w:after="240" w:line="276" w:lineRule="auto"/>
              <w:rPr>
                <w:i/>
                <w:sz w:val="22"/>
                <w:szCs w:val="20"/>
              </w:rPr>
            </w:pPr>
            <w:r w:rsidRPr="00184ABC">
              <w:rPr>
                <w:i/>
                <w:sz w:val="22"/>
                <w:szCs w:val="20"/>
              </w:rPr>
              <w:t>Certain revenue account land</w:t>
            </w:r>
          </w:p>
          <w:p w14:paraId="65C79B67" w14:textId="36B4A576" w:rsidR="009E6DE4" w:rsidRPr="006D4FA0" w:rsidRDefault="002E117C" w:rsidP="00DA18DA">
            <w:pPr>
              <w:pStyle w:val="TableText"/>
              <w:numPr>
                <w:ilvl w:val="2"/>
                <w:numId w:val="9"/>
              </w:numPr>
              <w:spacing w:before="240" w:after="240" w:line="276" w:lineRule="auto"/>
              <w:ind w:left="709" w:hanging="709"/>
              <w:rPr>
                <w:color w:val="000000"/>
                <w:sz w:val="22"/>
              </w:rPr>
            </w:pPr>
            <w:r>
              <w:rPr>
                <w:sz w:val="22"/>
              </w:rPr>
              <w:t>W</w:t>
            </w:r>
            <w:r w:rsidRPr="00634B88">
              <w:rPr>
                <w:sz w:val="22"/>
              </w:rPr>
              <w:t>e suggest that the ring-fencing rules should not apply to taxpayers who hold land on revenue account because they are in a land-related business.</w:t>
            </w:r>
            <w:r w:rsidRPr="00634B88">
              <w:rPr>
                <w:rStyle w:val="FootnoteReference"/>
                <w:szCs w:val="16"/>
              </w:rPr>
              <w:footnoteReference w:id="7"/>
            </w:r>
            <w:r w:rsidRPr="00634B88">
              <w:rPr>
                <w:sz w:val="22"/>
              </w:rPr>
              <w:t xml:space="preserve">  </w:t>
            </w:r>
            <w:r w:rsidR="006D4FA0" w:rsidRPr="005F70B6">
              <w:rPr>
                <w:rFonts w:cs="Arial"/>
                <w:sz w:val="22"/>
              </w:rPr>
              <w:t>Taxpayers</w:t>
            </w:r>
            <w:r w:rsidR="006D4FA0" w:rsidRPr="006D4FA0">
              <w:rPr>
                <w:color w:val="000000"/>
                <w:sz w:val="22"/>
              </w:rPr>
              <w:t xml:space="preserve"> in certain business</w:t>
            </w:r>
            <w:r w:rsidR="00184ABC">
              <w:rPr>
                <w:color w:val="000000"/>
                <w:sz w:val="22"/>
              </w:rPr>
              <w:t>es</w:t>
            </w:r>
            <w:r w:rsidR="006D4FA0" w:rsidRPr="006D4FA0">
              <w:rPr>
                <w:color w:val="000000"/>
                <w:sz w:val="22"/>
              </w:rPr>
              <w:t xml:space="preserve"> relating to land hold their land on revenue account, so the profits on sale will be taxed.  This applies to people in the business of dealing in land, developing land, dividing land into lots, or erecting buildings.  At balance date, such taxpayers </w:t>
            </w:r>
            <w:r w:rsidR="00A0616B">
              <w:rPr>
                <w:color w:val="000000"/>
                <w:sz w:val="22"/>
              </w:rPr>
              <w:t>may</w:t>
            </w:r>
            <w:r w:rsidR="006D4FA0" w:rsidRPr="006D4FA0">
              <w:rPr>
                <w:color w:val="000000"/>
                <w:sz w:val="22"/>
              </w:rPr>
              <w:t xml:space="preserve"> have a number of properties on hand, though they </w:t>
            </w:r>
            <w:r w:rsidR="00FA0895">
              <w:rPr>
                <w:color w:val="000000"/>
                <w:sz w:val="22"/>
              </w:rPr>
              <w:t>may not</w:t>
            </w:r>
            <w:r w:rsidR="006D4FA0" w:rsidRPr="006D4FA0">
              <w:rPr>
                <w:color w:val="000000"/>
                <w:sz w:val="22"/>
              </w:rPr>
              <w:t xml:space="preserve"> be currently rented out.  The policy rationale for loss ring</w:t>
            </w:r>
            <w:r w:rsidR="006D4FA0" w:rsidRPr="006D4FA0">
              <w:rPr>
                <w:color w:val="000000"/>
                <w:sz w:val="22"/>
              </w:rPr>
              <w:noBreakHyphen/>
              <w:t xml:space="preserve">fencing in these situations is weakened as the capital gains are already taxed.  </w:t>
            </w:r>
            <w:r w:rsidR="00425E0F" w:rsidRPr="00A0616B">
              <w:rPr>
                <w:color w:val="000000"/>
                <w:sz w:val="22"/>
              </w:rPr>
              <w:t>Submitters</w:t>
            </w:r>
            <w:r w:rsidR="0096578F" w:rsidRPr="00A0616B">
              <w:rPr>
                <w:color w:val="000000"/>
                <w:sz w:val="22"/>
              </w:rPr>
              <w:t xml:space="preserve"> </w:t>
            </w:r>
            <w:r w:rsidR="006D4FA0" w:rsidRPr="006D4FA0">
              <w:rPr>
                <w:color w:val="000000"/>
                <w:sz w:val="22"/>
              </w:rPr>
              <w:t xml:space="preserve">did not think the loss ring-fencing rules should apply to such taxpayers, as this </w:t>
            </w:r>
            <w:r w:rsidR="006D4FA0" w:rsidRPr="006D4FA0">
              <w:rPr>
                <w:sz w:val="22"/>
              </w:rPr>
              <w:t>could discourage new developments, which would be a barrier to increasing housing</w:t>
            </w:r>
            <w:r w:rsidR="0079669D">
              <w:rPr>
                <w:sz w:val="22"/>
              </w:rPr>
              <w:t xml:space="preserve"> supply</w:t>
            </w:r>
            <w:r w:rsidR="006D4FA0" w:rsidRPr="006D4FA0">
              <w:rPr>
                <w:color w:val="000000"/>
                <w:sz w:val="22"/>
              </w:rPr>
              <w:t>.</w:t>
            </w:r>
          </w:p>
          <w:p w14:paraId="5181BEC1" w14:textId="027F9D32" w:rsidR="006D4FA0" w:rsidRPr="00C0796B" w:rsidRDefault="006D4FA0" w:rsidP="00DA18DA">
            <w:pPr>
              <w:pStyle w:val="TableText"/>
              <w:numPr>
                <w:ilvl w:val="2"/>
                <w:numId w:val="9"/>
              </w:numPr>
              <w:spacing w:before="240" w:after="240" w:line="276" w:lineRule="auto"/>
              <w:ind w:left="709" w:hanging="709"/>
              <w:rPr>
                <w:sz w:val="22"/>
              </w:rPr>
            </w:pPr>
            <w:r w:rsidRPr="00C0796B">
              <w:rPr>
                <w:sz w:val="22"/>
              </w:rPr>
              <w:t xml:space="preserve">As </w:t>
            </w:r>
            <w:r w:rsidRPr="00634B88">
              <w:rPr>
                <w:rFonts w:cs="Arial"/>
                <w:sz w:val="22"/>
              </w:rPr>
              <w:t>discussed</w:t>
            </w:r>
            <w:r w:rsidRPr="00C0796B">
              <w:rPr>
                <w:sz w:val="22"/>
              </w:rPr>
              <w:t xml:space="preserve"> below, we suggest that rental losses are able to be used against taxable land sales </w:t>
            </w:r>
            <w:r w:rsidRPr="00634B88">
              <w:rPr>
                <w:sz w:val="22"/>
              </w:rPr>
              <w:t>to the extent they reduce the taxable gain to nil, with any further unused losses remaining ring-fenced to future rental income or taxable gains on other land sales.  While developers, dealers, etc, may have losses in respect of properties on hand at balance date, those losses being able to be used against income from other sales or rental activity in the year would mean that their businesses would be unlikely to be disadvantaged by the ring-fencing rules.  In most cases the income from their sale or rental activity would be expected to exceed their losses.</w:t>
            </w:r>
          </w:p>
          <w:p w14:paraId="00053395" w14:textId="302B4394" w:rsidR="006D4FA0" w:rsidRPr="00C0796B" w:rsidRDefault="006D4FA0" w:rsidP="00DA18DA">
            <w:pPr>
              <w:pStyle w:val="TableText"/>
              <w:numPr>
                <w:ilvl w:val="2"/>
                <w:numId w:val="9"/>
              </w:numPr>
              <w:spacing w:before="240" w:after="240" w:line="276" w:lineRule="auto"/>
              <w:ind w:left="709" w:hanging="709"/>
              <w:rPr>
                <w:sz w:val="22"/>
              </w:rPr>
            </w:pPr>
            <w:r w:rsidRPr="00634B88">
              <w:rPr>
                <w:rFonts w:cs="Arial"/>
                <w:sz w:val="22"/>
              </w:rPr>
              <w:t>However</w:t>
            </w:r>
            <w:r w:rsidRPr="00634B88">
              <w:rPr>
                <w:sz w:val="22"/>
              </w:rPr>
              <w:t xml:space="preserve">, in any overall loss-making year, we do not consider it necessary to ring-fence losses for these taxpayers.  </w:t>
            </w:r>
            <w:r w:rsidR="002E117C" w:rsidRPr="00634B88">
              <w:rPr>
                <w:sz w:val="22"/>
              </w:rPr>
              <w:t xml:space="preserve">This would enable those taxpayers to use losses </w:t>
            </w:r>
            <w:r w:rsidR="002E117C" w:rsidRPr="00634B88">
              <w:rPr>
                <w:sz w:val="22"/>
              </w:rPr>
              <w:lastRenderedPageBreak/>
              <w:t xml:space="preserve">arising in any year against other income – for example within their consolidated group (as they are likely to be companies). </w:t>
            </w:r>
            <w:r w:rsidRPr="00634B88">
              <w:rPr>
                <w:sz w:val="22"/>
              </w:rPr>
              <w:t xml:space="preserve">There is not the same concern in relation to these taxpayers about any of their deductible expenses relating to untaxed gains, as all of their land is on revenue account.  </w:t>
            </w:r>
          </w:p>
          <w:p w14:paraId="5442DD6B" w14:textId="51E27A65" w:rsidR="00634B88" w:rsidRPr="00A0616B" w:rsidRDefault="00FB5383" w:rsidP="00DA18DA">
            <w:pPr>
              <w:pStyle w:val="TableText"/>
              <w:numPr>
                <w:ilvl w:val="2"/>
                <w:numId w:val="9"/>
              </w:numPr>
              <w:spacing w:before="240" w:after="240" w:line="276" w:lineRule="auto"/>
              <w:ind w:left="709" w:hanging="709"/>
              <w:rPr>
                <w:color w:val="FF0000"/>
                <w:sz w:val="22"/>
              </w:rPr>
            </w:pPr>
            <w:r w:rsidRPr="00A0616B">
              <w:rPr>
                <w:sz w:val="22"/>
              </w:rPr>
              <w:t xml:space="preserve">In addition to the exclusions for revenue account land described in Option </w:t>
            </w:r>
            <w:r w:rsidR="00A0616B">
              <w:rPr>
                <w:sz w:val="22"/>
              </w:rPr>
              <w:t>2</w:t>
            </w:r>
            <w:r w:rsidRPr="00A0616B">
              <w:rPr>
                <w:sz w:val="22"/>
              </w:rPr>
              <w:t>, s</w:t>
            </w:r>
            <w:r w:rsidR="00C20E76" w:rsidRPr="00A0616B">
              <w:rPr>
                <w:sz w:val="22"/>
              </w:rPr>
              <w:t xml:space="preserve">ubmitters commented that all land that will definitely be subject to tax on sale </w:t>
            </w:r>
            <w:r w:rsidR="00785271" w:rsidRPr="00A0616B">
              <w:rPr>
                <w:sz w:val="22"/>
              </w:rPr>
              <w:t xml:space="preserve">should be excluded from these rules.  </w:t>
            </w:r>
            <w:r w:rsidRPr="00A0616B">
              <w:rPr>
                <w:sz w:val="22"/>
              </w:rPr>
              <w:t xml:space="preserve">This includes </w:t>
            </w:r>
            <w:r w:rsidR="00584557" w:rsidRPr="00A0616B">
              <w:rPr>
                <w:color w:val="000000"/>
                <w:sz w:val="22"/>
              </w:rPr>
              <w:t>for example,</w:t>
            </w:r>
            <w:r w:rsidR="00785271" w:rsidRPr="00A0616B">
              <w:rPr>
                <w:color w:val="000000"/>
                <w:sz w:val="22"/>
              </w:rPr>
              <w:t xml:space="preserve"> land that was bought with the intention of </w:t>
            </w:r>
            <w:r w:rsidRPr="00A0616B">
              <w:rPr>
                <w:color w:val="000000"/>
                <w:sz w:val="22"/>
              </w:rPr>
              <w:t>resale</w:t>
            </w:r>
            <w:r w:rsidR="00584557" w:rsidRPr="00A0616B">
              <w:rPr>
                <w:color w:val="000000"/>
                <w:sz w:val="22"/>
              </w:rPr>
              <w:t xml:space="preserve"> or land that had been subject to more than minor development or division work within 10 years of acquisition</w:t>
            </w:r>
            <w:r w:rsidR="00785271" w:rsidRPr="00A0616B">
              <w:rPr>
                <w:color w:val="000000"/>
                <w:sz w:val="22"/>
              </w:rPr>
              <w:t>.  We recommend that if land is identified to Inland Revenue as being on revenue account not subject to any contingencies (for example, being sold within a particular time period), that land should be considered to be definitely subject to tax and excluded from the scope of the</w:t>
            </w:r>
            <w:r w:rsidR="00584557" w:rsidRPr="00A0616B">
              <w:rPr>
                <w:color w:val="000000"/>
                <w:sz w:val="22"/>
              </w:rPr>
              <w:t xml:space="preserve"> ring-fencing</w:t>
            </w:r>
            <w:r w:rsidRPr="00A0616B">
              <w:rPr>
                <w:color w:val="000000"/>
                <w:sz w:val="22"/>
              </w:rPr>
              <w:t xml:space="preserve"> rules, as all of the economic income will be subject to tax.  </w:t>
            </w:r>
          </w:p>
          <w:p w14:paraId="4F328B28" w14:textId="06CC4C07" w:rsidR="000B797C" w:rsidRPr="002E117C" w:rsidRDefault="000B797C" w:rsidP="00E74CC1">
            <w:pPr>
              <w:pStyle w:val="TableText"/>
              <w:spacing w:before="240" w:after="240" w:line="276" w:lineRule="auto"/>
              <w:rPr>
                <w:i/>
                <w:sz w:val="22"/>
                <w:szCs w:val="20"/>
              </w:rPr>
            </w:pPr>
            <w:r w:rsidRPr="002E117C">
              <w:rPr>
                <w:i/>
                <w:sz w:val="22"/>
                <w:szCs w:val="20"/>
              </w:rPr>
              <w:t>Land owned by companies and trusts</w:t>
            </w:r>
          </w:p>
          <w:p w14:paraId="390C6054" w14:textId="1FDCB17D" w:rsidR="000B797C" w:rsidRPr="00670B15" w:rsidRDefault="006D4FA0" w:rsidP="00DA18DA">
            <w:pPr>
              <w:pStyle w:val="TableText"/>
              <w:numPr>
                <w:ilvl w:val="2"/>
                <w:numId w:val="9"/>
              </w:numPr>
              <w:spacing w:before="240" w:after="240" w:line="276" w:lineRule="auto"/>
              <w:ind w:left="709" w:hanging="709"/>
              <w:rPr>
                <w:sz w:val="22"/>
              </w:rPr>
            </w:pPr>
            <w:r w:rsidRPr="00DA18DA">
              <w:rPr>
                <w:rFonts w:cs="Arial"/>
                <w:sz w:val="22"/>
              </w:rPr>
              <w:t>Some</w:t>
            </w:r>
            <w:r w:rsidRPr="00670B15">
              <w:rPr>
                <w:sz w:val="22"/>
              </w:rPr>
              <w:t xml:space="preserve"> </w:t>
            </w:r>
            <w:r w:rsidRPr="005F70B6">
              <w:rPr>
                <w:rFonts w:cs="Arial"/>
                <w:sz w:val="22"/>
              </w:rPr>
              <w:t>private</w:t>
            </w:r>
            <w:r w:rsidRPr="00670B15">
              <w:rPr>
                <w:sz w:val="22"/>
              </w:rPr>
              <w:t xml:space="preserve"> sector advisers </w:t>
            </w:r>
            <w:r w:rsidR="00060FFC" w:rsidRPr="00A0616B">
              <w:rPr>
                <w:sz w:val="22"/>
              </w:rPr>
              <w:t xml:space="preserve">and submitters </w:t>
            </w:r>
            <w:r w:rsidR="006D0295" w:rsidRPr="00A0616B">
              <w:rPr>
                <w:sz w:val="22"/>
              </w:rPr>
              <w:t>on</w:t>
            </w:r>
            <w:r w:rsidR="00060FFC" w:rsidRPr="00A0616B">
              <w:rPr>
                <w:sz w:val="22"/>
              </w:rPr>
              <w:t xml:space="preserve"> the issues paper</w:t>
            </w:r>
            <w:r w:rsidR="00670B15" w:rsidRPr="00670B15">
              <w:rPr>
                <w:sz w:val="22"/>
              </w:rPr>
              <w:t xml:space="preserve"> </w:t>
            </w:r>
            <w:r w:rsidRPr="00670B15">
              <w:rPr>
                <w:sz w:val="22"/>
              </w:rPr>
              <w:t xml:space="preserve">suggested that the ring-fencing rules should apply only to individuals (ie, natural persons) and look-through companies, and not to other companies or trusts.  It was noted that company losses are effectively ring-fenced inside the company, as are losses in a trust.  It was also noted that </w:t>
            </w:r>
            <w:r w:rsidR="000822DA">
              <w:rPr>
                <w:sz w:val="22"/>
              </w:rPr>
              <w:t xml:space="preserve">the rules would apply to some </w:t>
            </w:r>
            <w:r w:rsidRPr="00670B15">
              <w:rPr>
                <w:sz w:val="22"/>
              </w:rPr>
              <w:t>large companies (for example, large power companies that hold some residential rental property)</w:t>
            </w:r>
            <w:r w:rsidR="00C30216">
              <w:rPr>
                <w:sz w:val="22"/>
              </w:rPr>
              <w:t>, imposing compliance costs</w:t>
            </w:r>
            <w:r w:rsidRPr="00670B15">
              <w:rPr>
                <w:sz w:val="22"/>
              </w:rPr>
              <w:t xml:space="preserve"> </w:t>
            </w:r>
            <w:r w:rsidR="00C30216">
              <w:rPr>
                <w:sz w:val="22"/>
              </w:rPr>
              <w:t xml:space="preserve">on those companies, </w:t>
            </w:r>
            <w:r w:rsidR="000822DA">
              <w:rPr>
                <w:sz w:val="22"/>
              </w:rPr>
              <w:t xml:space="preserve">in circumstances that </w:t>
            </w:r>
            <w:r w:rsidRPr="00670B15">
              <w:rPr>
                <w:sz w:val="22"/>
              </w:rPr>
              <w:t>were unlikely to be the target of the reform.</w:t>
            </w:r>
          </w:p>
          <w:p w14:paraId="1AAD7C7A" w14:textId="7956D657" w:rsidR="006D4FA0" w:rsidRPr="003F6E58" w:rsidRDefault="006D4FA0" w:rsidP="00DA18DA">
            <w:pPr>
              <w:pStyle w:val="TableText"/>
              <w:numPr>
                <w:ilvl w:val="2"/>
                <w:numId w:val="9"/>
              </w:numPr>
              <w:spacing w:before="240" w:after="240" w:line="276" w:lineRule="auto"/>
              <w:ind w:left="709" w:hanging="709"/>
              <w:rPr>
                <w:rFonts w:cs="Arial"/>
                <w:sz w:val="22"/>
              </w:rPr>
            </w:pPr>
            <w:r w:rsidRPr="003F6E58">
              <w:rPr>
                <w:rFonts w:cs="Arial"/>
                <w:sz w:val="22"/>
              </w:rPr>
              <w:t>While</w:t>
            </w:r>
            <w:r w:rsidRPr="003F6E58">
              <w:rPr>
                <w:sz w:val="22"/>
              </w:rPr>
              <w:t xml:space="preserve"> there is some argument that losses are ring-fenced within a company, so there is no need for the rules to apply to companies, officials do not consider that additional compliance costs for some large corporates would justify rules that apply only to individual taxpayers.  This would leave open the possibility of </w:t>
            </w:r>
            <w:r w:rsidR="003F6E58" w:rsidRPr="003F6E58">
              <w:rPr>
                <w:sz w:val="22"/>
              </w:rPr>
              <w:t xml:space="preserve">holding rental properties in a company, trading trust, or family trust, and offsetting rental losses against other income.  </w:t>
            </w:r>
            <w:r w:rsidRPr="003F6E58">
              <w:rPr>
                <w:sz w:val="22"/>
              </w:rPr>
              <w:t>Limiting the ring-fencing rules to individuals would, therefore, significantly undermine the fairness of the rules.</w:t>
            </w:r>
            <w:r w:rsidR="00670B15" w:rsidRPr="003F6E58">
              <w:rPr>
                <w:sz w:val="22"/>
              </w:rPr>
              <w:t xml:space="preserve">  We therefore do not recommend this option.</w:t>
            </w:r>
          </w:p>
          <w:p w14:paraId="6A85A204" w14:textId="668D520D" w:rsidR="00060FFC" w:rsidRPr="00A0616B" w:rsidRDefault="00060FFC" w:rsidP="00060FFC">
            <w:pPr>
              <w:pStyle w:val="TableText"/>
              <w:spacing w:before="240" w:after="240" w:line="276" w:lineRule="auto"/>
              <w:rPr>
                <w:i/>
                <w:sz w:val="22"/>
                <w:szCs w:val="20"/>
              </w:rPr>
            </w:pPr>
            <w:r w:rsidRPr="00A0616B">
              <w:rPr>
                <w:i/>
                <w:sz w:val="22"/>
                <w:szCs w:val="20"/>
              </w:rPr>
              <w:t>Land owned by widely-held companies</w:t>
            </w:r>
          </w:p>
          <w:p w14:paraId="3EEB78CA" w14:textId="7BF3F177" w:rsidR="00060FFC" w:rsidRPr="00A0616B" w:rsidRDefault="00FB5383" w:rsidP="00DA18DA">
            <w:pPr>
              <w:pStyle w:val="TableText"/>
              <w:numPr>
                <w:ilvl w:val="2"/>
                <w:numId w:val="9"/>
              </w:numPr>
              <w:spacing w:before="240" w:after="240" w:line="276" w:lineRule="auto"/>
              <w:ind w:left="709" w:hanging="709"/>
              <w:rPr>
                <w:rFonts w:cs="Arial"/>
                <w:sz w:val="22"/>
              </w:rPr>
            </w:pPr>
            <w:r w:rsidRPr="00A0616B">
              <w:rPr>
                <w:rFonts w:cs="Arial"/>
                <w:sz w:val="22"/>
              </w:rPr>
              <w:t xml:space="preserve">The design features in Option </w:t>
            </w:r>
            <w:r w:rsidR="007A35BB">
              <w:rPr>
                <w:rFonts w:cs="Arial"/>
                <w:sz w:val="22"/>
              </w:rPr>
              <w:t>2</w:t>
            </w:r>
            <w:r w:rsidRPr="00A0616B">
              <w:rPr>
                <w:rFonts w:cs="Arial"/>
                <w:sz w:val="22"/>
              </w:rPr>
              <w:t xml:space="preserve"> included within the scope of the proposed ring-fencing rules all land held by trusts and companies, including land owned by widely-held companies. A</w:t>
            </w:r>
            <w:r w:rsidR="00634B88" w:rsidRPr="00A0616B">
              <w:rPr>
                <w:rFonts w:cs="Arial"/>
                <w:sz w:val="22"/>
              </w:rPr>
              <w:t xml:space="preserve"> number of submitters </w:t>
            </w:r>
            <w:r w:rsidR="006D0295" w:rsidRPr="00A0616B">
              <w:rPr>
                <w:rFonts w:cs="Arial"/>
                <w:sz w:val="22"/>
              </w:rPr>
              <w:t>on</w:t>
            </w:r>
            <w:r w:rsidR="00922229" w:rsidRPr="00A0616B">
              <w:rPr>
                <w:rFonts w:cs="Arial"/>
                <w:sz w:val="22"/>
              </w:rPr>
              <w:t xml:space="preserve"> </w:t>
            </w:r>
            <w:r w:rsidR="00634B88" w:rsidRPr="00A0616B">
              <w:rPr>
                <w:rFonts w:cs="Arial"/>
                <w:sz w:val="22"/>
              </w:rPr>
              <w:t xml:space="preserve">the officials’ issues paper commented that applying the ring-fencing rules would create substantial compliance costs for large companies which are not the target of the proposal.  </w:t>
            </w:r>
            <w:r w:rsidR="006D0295" w:rsidRPr="00A0616B">
              <w:rPr>
                <w:rFonts w:cs="Arial"/>
                <w:sz w:val="22"/>
              </w:rPr>
              <w:t>It was noted that l</w:t>
            </w:r>
            <w:r w:rsidR="00634B88" w:rsidRPr="00A0616B">
              <w:rPr>
                <w:rFonts w:cs="Arial"/>
                <w:sz w:val="22"/>
              </w:rPr>
              <w:t xml:space="preserve">arge companies often hold residential land incidentally to their business (for example as sites for future development, or for employee accommodation).  In these circumstances, the mischief of offsetting property losses against labour or other income with the hope of capital gains from the properties is not present.  For that reason we recommend that widely-held companies be excluded from the scope of the rules.  </w:t>
            </w:r>
          </w:p>
          <w:p w14:paraId="3AB23CAD" w14:textId="51130F14" w:rsidR="00634B88" w:rsidRPr="00A0616B" w:rsidRDefault="00634B88" w:rsidP="00634B88">
            <w:pPr>
              <w:pStyle w:val="TableText"/>
              <w:spacing w:before="240" w:after="240" w:line="276" w:lineRule="auto"/>
              <w:rPr>
                <w:i/>
                <w:sz w:val="22"/>
                <w:szCs w:val="20"/>
              </w:rPr>
            </w:pPr>
            <w:r w:rsidRPr="00A0616B">
              <w:rPr>
                <w:i/>
                <w:sz w:val="22"/>
                <w:szCs w:val="20"/>
              </w:rPr>
              <w:t>Employee and farming accommodation</w:t>
            </w:r>
          </w:p>
          <w:p w14:paraId="08F54998" w14:textId="1369BBA3" w:rsidR="00634B88" w:rsidRPr="00A0616B" w:rsidRDefault="00FB5383" w:rsidP="00634B88">
            <w:pPr>
              <w:pStyle w:val="TableText"/>
              <w:numPr>
                <w:ilvl w:val="2"/>
                <w:numId w:val="9"/>
              </w:numPr>
              <w:spacing w:before="240" w:after="240" w:line="276" w:lineRule="auto"/>
              <w:ind w:left="709" w:hanging="709"/>
              <w:rPr>
                <w:rFonts w:cs="Arial"/>
                <w:sz w:val="22"/>
              </w:rPr>
            </w:pPr>
            <w:r w:rsidRPr="00A0616B">
              <w:rPr>
                <w:rFonts w:cs="Arial"/>
                <w:sz w:val="22"/>
              </w:rPr>
              <w:lastRenderedPageBreak/>
              <w:t xml:space="preserve">The design features in Option </w:t>
            </w:r>
            <w:r w:rsidR="003F6E58">
              <w:rPr>
                <w:rFonts w:cs="Arial"/>
                <w:sz w:val="22"/>
              </w:rPr>
              <w:t>2</w:t>
            </w:r>
            <w:r w:rsidR="003F6E58" w:rsidRPr="00A0616B">
              <w:rPr>
                <w:rFonts w:cs="Arial"/>
                <w:sz w:val="22"/>
              </w:rPr>
              <w:t xml:space="preserve"> </w:t>
            </w:r>
            <w:r w:rsidRPr="00A0616B">
              <w:rPr>
                <w:rFonts w:cs="Arial"/>
                <w:sz w:val="22"/>
              </w:rPr>
              <w:t xml:space="preserve">did not carve out land used to provide accommodation to employees, or as part of their farming business. </w:t>
            </w:r>
            <w:r w:rsidR="00634B88" w:rsidRPr="00A0616B">
              <w:rPr>
                <w:rFonts w:cs="Arial"/>
                <w:sz w:val="22"/>
              </w:rPr>
              <w:t xml:space="preserve">A number of submitters have suggested that </w:t>
            </w:r>
            <w:r w:rsidRPr="00A0616B">
              <w:rPr>
                <w:rFonts w:cs="Arial"/>
                <w:sz w:val="22"/>
              </w:rPr>
              <w:t>these should be carved out of the ring-fencing rules</w:t>
            </w:r>
            <w:r w:rsidR="00634B88" w:rsidRPr="00A0616B">
              <w:rPr>
                <w:rFonts w:cs="Arial"/>
                <w:sz w:val="22"/>
              </w:rPr>
              <w:t xml:space="preserve">.  Submitters considered that such properties have no connection to the mischief the ring-fencing rules are seeking to address, and including them would create compliance costs without any corresponding benefit.  </w:t>
            </w:r>
          </w:p>
          <w:p w14:paraId="0633BDCC" w14:textId="6787F646" w:rsidR="00634B88" w:rsidRPr="00A0616B" w:rsidRDefault="00634B88" w:rsidP="00634B88">
            <w:pPr>
              <w:pStyle w:val="TableText"/>
              <w:numPr>
                <w:ilvl w:val="2"/>
                <w:numId w:val="9"/>
              </w:numPr>
              <w:spacing w:before="240" w:after="240" w:line="276" w:lineRule="auto"/>
              <w:ind w:left="709" w:hanging="709"/>
              <w:rPr>
                <w:rFonts w:cs="Arial"/>
                <w:sz w:val="22"/>
              </w:rPr>
            </w:pPr>
            <w:r w:rsidRPr="00A0616B">
              <w:rPr>
                <w:rFonts w:cs="Arial"/>
                <w:sz w:val="22"/>
              </w:rPr>
              <w:t>We agree that it would not undermine the rules to exclude accommodation provided to employees (or other workers, as will often be the case in farming) where it is necessary to provide that accommodation due to the nature or remoteness of the business.  In such situations the perceived mischief of offsetting property losses against labour or other income with the hope of capital gains from the properties is not present.  We therefore recommend such an exclusion.</w:t>
            </w:r>
          </w:p>
          <w:p w14:paraId="7FED36A6" w14:textId="63364030" w:rsidR="00910F88" w:rsidRPr="004C4352" w:rsidRDefault="009104D7" w:rsidP="00E74CC1">
            <w:pPr>
              <w:pStyle w:val="TableText"/>
              <w:spacing w:before="240" w:after="240" w:line="276" w:lineRule="auto"/>
              <w:rPr>
                <w:rFonts w:cs="Arial"/>
                <w:b/>
                <w:i/>
                <w:sz w:val="22"/>
              </w:rPr>
            </w:pPr>
            <w:r w:rsidRPr="004C4352">
              <w:rPr>
                <w:rFonts w:cs="Arial"/>
                <w:b/>
                <w:i/>
                <w:sz w:val="22"/>
              </w:rPr>
              <w:t>Level of ring-fencing</w:t>
            </w:r>
          </w:p>
          <w:p w14:paraId="4A568147" w14:textId="1F7EEC2B" w:rsidR="00405F24" w:rsidRPr="00E74CC1" w:rsidRDefault="00670B15" w:rsidP="00DA18DA">
            <w:pPr>
              <w:pStyle w:val="TableText"/>
              <w:numPr>
                <w:ilvl w:val="2"/>
                <w:numId w:val="9"/>
              </w:numPr>
              <w:spacing w:before="240" w:after="240" w:line="276" w:lineRule="auto"/>
              <w:ind w:left="709" w:hanging="709"/>
              <w:rPr>
                <w:rFonts w:cs="Arial"/>
                <w:sz w:val="22"/>
              </w:rPr>
            </w:pPr>
            <w:r w:rsidRPr="005C487B">
              <w:rPr>
                <w:sz w:val="22"/>
              </w:rPr>
              <w:t xml:space="preserve">The </w:t>
            </w:r>
            <w:r w:rsidRPr="005F70B6">
              <w:rPr>
                <w:rFonts w:cs="Arial"/>
                <w:sz w:val="22"/>
              </w:rPr>
              <w:t>proposed</w:t>
            </w:r>
            <w:r w:rsidRPr="005C487B">
              <w:rPr>
                <w:sz w:val="22"/>
              </w:rPr>
              <w:t xml:space="preserve"> loss ring-fencing rules could be applied either on a property</w:t>
            </w:r>
            <w:r w:rsidR="0079669D">
              <w:rPr>
                <w:sz w:val="22"/>
              </w:rPr>
              <w:t>-</w:t>
            </w:r>
            <w:r w:rsidRPr="005C487B">
              <w:rPr>
                <w:sz w:val="22"/>
              </w:rPr>
              <w:t>by</w:t>
            </w:r>
            <w:r w:rsidR="0079669D">
              <w:rPr>
                <w:sz w:val="22"/>
              </w:rPr>
              <w:t>-</w:t>
            </w:r>
            <w:r w:rsidRPr="005C487B">
              <w:rPr>
                <w:sz w:val="22"/>
              </w:rPr>
              <w:t>property basis or on a portfolio basis.  A portfolio approach would mean that investors could offset losses from one rental property against rental income from other properties, calculating their profit/loss on their overall portfolio.</w:t>
            </w:r>
            <w:r w:rsidR="005C487B" w:rsidRPr="005C487B">
              <w:rPr>
                <w:sz w:val="22"/>
              </w:rPr>
              <w:t xml:space="preserve">  </w:t>
            </w:r>
            <w:r w:rsidR="001B53D7">
              <w:rPr>
                <w:sz w:val="22"/>
              </w:rPr>
              <w:t xml:space="preserve">This may be seen as less equitable </w:t>
            </w:r>
            <w:r w:rsidR="00F170FA">
              <w:rPr>
                <w:sz w:val="22"/>
              </w:rPr>
              <w:t xml:space="preserve">than a property-by-property approach, </w:t>
            </w:r>
            <w:r w:rsidR="001B53D7">
              <w:rPr>
                <w:sz w:val="22"/>
              </w:rPr>
              <w:t xml:space="preserve">in that it may favour wealthier taxpayers with larger property holdings.  </w:t>
            </w:r>
            <w:r w:rsidR="005C487B" w:rsidRPr="005C487B">
              <w:rPr>
                <w:sz w:val="22"/>
              </w:rPr>
              <w:t xml:space="preserve">A property-by-property basis would mean that </w:t>
            </w:r>
            <w:r w:rsidRPr="005C487B">
              <w:rPr>
                <w:sz w:val="22"/>
              </w:rPr>
              <w:t xml:space="preserve">each property </w:t>
            </w:r>
            <w:r w:rsidR="005C487B" w:rsidRPr="005C487B">
              <w:rPr>
                <w:sz w:val="22"/>
              </w:rPr>
              <w:t>is</w:t>
            </w:r>
            <w:r w:rsidRPr="005C487B">
              <w:rPr>
                <w:sz w:val="22"/>
              </w:rPr>
              <w:t xml:space="preserve"> looked at separately, so losses on one ca</w:t>
            </w:r>
            <w:r w:rsidR="005C487B">
              <w:rPr>
                <w:sz w:val="22"/>
              </w:rPr>
              <w:t>nnot offset income from another.</w:t>
            </w:r>
          </w:p>
          <w:p w14:paraId="6C4F28E5" w14:textId="4E98F266" w:rsidR="00910F88" w:rsidRPr="00E74CC1" w:rsidRDefault="00E41D9A" w:rsidP="00DA18DA">
            <w:pPr>
              <w:pStyle w:val="TableText"/>
              <w:numPr>
                <w:ilvl w:val="2"/>
                <w:numId w:val="9"/>
              </w:numPr>
              <w:spacing w:before="240" w:after="240" w:line="276" w:lineRule="auto"/>
              <w:ind w:left="709" w:hanging="709"/>
              <w:rPr>
                <w:rFonts w:cs="Arial"/>
                <w:sz w:val="22"/>
              </w:rPr>
            </w:pPr>
            <w:r w:rsidRPr="00E74CC1">
              <w:rPr>
                <w:rFonts w:cs="Arial"/>
                <w:sz w:val="22"/>
              </w:rPr>
              <w:t>A property-by-</w:t>
            </w:r>
            <w:r w:rsidR="00910F88" w:rsidRPr="00E74CC1">
              <w:rPr>
                <w:rFonts w:cs="Arial"/>
                <w:sz w:val="22"/>
              </w:rPr>
              <w:t xml:space="preserve">property approach </w:t>
            </w:r>
            <w:r w:rsidRPr="00E74CC1">
              <w:rPr>
                <w:rFonts w:cs="Arial"/>
                <w:sz w:val="22"/>
              </w:rPr>
              <w:t xml:space="preserve">could, in theory, be more effective in reducing tax benefits to investors. </w:t>
            </w:r>
            <w:r w:rsidR="005C487B">
              <w:rPr>
                <w:rFonts w:cs="Arial"/>
                <w:sz w:val="22"/>
              </w:rPr>
              <w:t xml:space="preserve"> </w:t>
            </w:r>
            <w:r w:rsidRPr="00E74CC1">
              <w:rPr>
                <w:rFonts w:cs="Arial"/>
                <w:sz w:val="22"/>
              </w:rPr>
              <w:t xml:space="preserve">In practice, however, a property-by-property </w:t>
            </w:r>
            <w:r w:rsidR="00405F24" w:rsidRPr="00E74CC1">
              <w:rPr>
                <w:rFonts w:cs="Arial"/>
                <w:sz w:val="22"/>
              </w:rPr>
              <w:t>approach could result in</w:t>
            </w:r>
            <w:r w:rsidR="00405F24" w:rsidRPr="005C487B">
              <w:rPr>
                <w:rFonts w:cs="Arial"/>
                <w:sz w:val="22"/>
              </w:rPr>
              <w:t xml:space="preserve"> de facto</w:t>
            </w:r>
            <w:r w:rsidR="00405F24" w:rsidRPr="00E74CC1">
              <w:rPr>
                <w:rFonts w:cs="Arial"/>
                <w:sz w:val="22"/>
              </w:rPr>
              <w:t xml:space="preserve"> portfolio outcomes. </w:t>
            </w:r>
            <w:r w:rsidR="005C487B">
              <w:rPr>
                <w:rFonts w:cs="Arial"/>
                <w:sz w:val="22"/>
              </w:rPr>
              <w:t xml:space="preserve"> </w:t>
            </w:r>
            <w:r w:rsidR="00405F24" w:rsidRPr="00E74CC1">
              <w:rPr>
                <w:rFonts w:cs="Arial"/>
                <w:sz w:val="22"/>
              </w:rPr>
              <w:t>T</w:t>
            </w:r>
            <w:r w:rsidRPr="00E74CC1">
              <w:rPr>
                <w:rFonts w:cs="Arial"/>
                <w:sz w:val="22"/>
              </w:rPr>
              <w:t xml:space="preserve">axpayers </w:t>
            </w:r>
            <w:r w:rsidR="00405F24" w:rsidRPr="00E74CC1">
              <w:rPr>
                <w:rFonts w:cs="Arial"/>
                <w:sz w:val="22"/>
              </w:rPr>
              <w:t>could potentially rebalance</w:t>
            </w:r>
            <w:r w:rsidRPr="00E74CC1">
              <w:rPr>
                <w:rFonts w:cs="Arial"/>
                <w:sz w:val="22"/>
              </w:rPr>
              <w:t xml:space="preserve"> their debt funding to avoid having loss-making properties, or at least minimis</w:t>
            </w:r>
            <w:r w:rsidR="000822DA">
              <w:rPr>
                <w:rFonts w:cs="Arial"/>
                <w:sz w:val="22"/>
              </w:rPr>
              <w:t>e</w:t>
            </w:r>
            <w:r w:rsidRPr="00E74CC1">
              <w:rPr>
                <w:rFonts w:cs="Arial"/>
                <w:sz w:val="22"/>
              </w:rPr>
              <w:t xml:space="preserve"> the extent to which any particul</w:t>
            </w:r>
            <w:r w:rsidR="002A465D" w:rsidRPr="00E74CC1">
              <w:rPr>
                <w:rFonts w:cs="Arial"/>
                <w:sz w:val="22"/>
              </w:rPr>
              <w:t>ar property is loss-making.</w:t>
            </w:r>
          </w:p>
          <w:p w14:paraId="473D1E4C" w14:textId="3ADEFDFB" w:rsidR="005C487B" w:rsidRPr="005C487B" w:rsidRDefault="005C487B" w:rsidP="00DA18DA">
            <w:pPr>
              <w:pStyle w:val="TableText"/>
              <w:numPr>
                <w:ilvl w:val="2"/>
                <w:numId w:val="9"/>
              </w:numPr>
              <w:spacing w:before="240" w:after="240" w:line="276" w:lineRule="auto"/>
              <w:ind w:left="709" w:hanging="709"/>
              <w:rPr>
                <w:sz w:val="22"/>
              </w:rPr>
            </w:pPr>
            <w:r w:rsidRPr="005C487B">
              <w:rPr>
                <w:sz w:val="22"/>
              </w:rPr>
              <w:t xml:space="preserve">This </w:t>
            </w:r>
            <w:r w:rsidRPr="005F70B6">
              <w:rPr>
                <w:rFonts w:cs="Arial"/>
                <w:sz w:val="22"/>
              </w:rPr>
              <w:t>taxpayer</w:t>
            </w:r>
            <w:r w:rsidRPr="005C487B">
              <w:rPr>
                <w:sz w:val="22"/>
              </w:rPr>
              <w:t xml:space="preserve"> response would be inefficient, and may also mean that</w:t>
            </w:r>
            <w:r w:rsidR="006F0B73">
              <w:rPr>
                <w:sz w:val="22"/>
              </w:rPr>
              <w:t>,</w:t>
            </w:r>
            <w:r w:rsidRPr="005C487B">
              <w:rPr>
                <w:sz w:val="22"/>
              </w:rPr>
              <w:t xml:space="preserve"> in terms of the objective</w:t>
            </w:r>
            <w:r w:rsidR="006F0B73">
              <w:rPr>
                <w:sz w:val="22"/>
              </w:rPr>
              <w:t>,</w:t>
            </w:r>
            <w:r w:rsidRPr="005C487B">
              <w:rPr>
                <w:sz w:val="22"/>
              </w:rPr>
              <w:t xml:space="preserve"> a property-by-property approach may have no real advantage over a portfolio approach – adding complexity and increasing compliance costs for no gain.  </w:t>
            </w:r>
          </w:p>
          <w:p w14:paraId="39FF21A1" w14:textId="27BF9BC5" w:rsidR="005C487B" w:rsidRDefault="005C487B" w:rsidP="00DA18DA">
            <w:pPr>
              <w:pStyle w:val="TableText"/>
              <w:numPr>
                <w:ilvl w:val="2"/>
                <w:numId w:val="9"/>
              </w:numPr>
              <w:spacing w:before="240" w:after="240" w:line="276" w:lineRule="auto"/>
              <w:ind w:left="709" w:hanging="709"/>
              <w:rPr>
                <w:sz w:val="22"/>
              </w:rPr>
            </w:pPr>
            <w:r w:rsidRPr="005F70B6">
              <w:rPr>
                <w:rFonts w:cs="Arial"/>
                <w:sz w:val="22"/>
              </w:rPr>
              <w:t>Further</w:t>
            </w:r>
            <w:r w:rsidRPr="005C487B">
              <w:rPr>
                <w:sz w:val="22"/>
              </w:rPr>
              <w:t>, a property</w:t>
            </w:r>
            <w:r w:rsidR="0079669D">
              <w:rPr>
                <w:sz w:val="22"/>
              </w:rPr>
              <w:t>-</w:t>
            </w:r>
            <w:r w:rsidRPr="005C487B">
              <w:rPr>
                <w:sz w:val="22"/>
              </w:rPr>
              <w:t>by</w:t>
            </w:r>
            <w:r w:rsidR="0079669D">
              <w:rPr>
                <w:sz w:val="22"/>
              </w:rPr>
              <w:t>-</w:t>
            </w:r>
            <w:r w:rsidRPr="005C487B">
              <w:rPr>
                <w:sz w:val="22"/>
              </w:rPr>
              <w:t>property approach may be seen as unfair in that if a taxpayer has two properties and breaks even on the portfolio overall, the taxpayer’s tax position would depend on whether they break even on both properties or make a gain on one and a loss on the other.</w:t>
            </w:r>
          </w:p>
          <w:p w14:paraId="4D17CA6D" w14:textId="1AEA1011" w:rsidR="005C487B" w:rsidRPr="004B21C2" w:rsidRDefault="005C487B" w:rsidP="00DA18DA">
            <w:pPr>
              <w:pStyle w:val="TableText"/>
              <w:numPr>
                <w:ilvl w:val="2"/>
                <w:numId w:val="9"/>
              </w:numPr>
              <w:spacing w:before="240" w:after="240" w:line="276" w:lineRule="auto"/>
              <w:ind w:left="709" w:hanging="709"/>
              <w:rPr>
                <w:sz w:val="22"/>
              </w:rPr>
            </w:pPr>
            <w:r w:rsidRPr="005F70B6">
              <w:rPr>
                <w:rFonts w:cs="Arial"/>
                <w:sz w:val="22"/>
              </w:rPr>
              <w:t>Applying</w:t>
            </w:r>
            <w:r w:rsidRPr="004B21C2">
              <w:rPr>
                <w:sz w:val="22"/>
              </w:rPr>
              <w:t xml:space="preserve"> the rules on a portfolio basis would be significantly simpler</w:t>
            </w:r>
            <w:r w:rsidR="00E54E93">
              <w:rPr>
                <w:sz w:val="22"/>
              </w:rPr>
              <w:t xml:space="preserve"> than a property-by-property approach, </w:t>
            </w:r>
            <w:r w:rsidRPr="004B21C2">
              <w:rPr>
                <w:sz w:val="22"/>
              </w:rPr>
              <w:t>from a compliance and administrative point of view, as this is how rental income is currently returned.</w:t>
            </w:r>
            <w:r w:rsidR="004B21C2" w:rsidRPr="004B21C2">
              <w:rPr>
                <w:sz w:val="22"/>
              </w:rPr>
              <w:t xml:space="preserve">  </w:t>
            </w:r>
            <w:r w:rsidR="004B21C2" w:rsidRPr="004B21C2">
              <w:rPr>
                <w:sz w:val="22"/>
                <w:lang w:val="en"/>
              </w:rPr>
              <w:t>The additional compliance costs a property-by-property approach would create, especially for investors holding many properties, was highlighted by private sector advisors.</w:t>
            </w:r>
          </w:p>
          <w:p w14:paraId="591CAC3F" w14:textId="72364B0F" w:rsidR="005C487B" w:rsidRPr="005C487B" w:rsidRDefault="005C487B" w:rsidP="00DA18DA">
            <w:pPr>
              <w:pStyle w:val="TableText"/>
              <w:numPr>
                <w:ilvl w:val="2"/>
                <w:numId w:val="9"/>
              </w:numPr>
              <w:spacing w:before="240" w:after="240" w:line="276" w:lineRule="auto"/>
              <w:ind w:left="709" w:hanging="709"/>
              <w:rPr>
                <w:rFonts w:cs="Arial"/>
                <w:sz w:val="22"/>
              </w:rPr>
            </w:pPr>
            <w:r w:rsidRPr="004B21C2">
              <w:rPr>
                <w:sz w:val="22"/>
              </w:rPr>
              <w:t xml:space="preserve">We </w:t>
            </w:r>
            <w:r w:rsidRPr="005F70B6">
              <w:rPr>
                <w:rFonts w:cs="Arial"/>
                <w:sz w:val="22"/>
              </w:rPr>
              <w:t>have</w:t>
            </w:r>
            <w:r w:rsidRPr="004B21C2">
              <w:rPr>
                <w:sz w:val="22"/>
              </w:rPr>
              <w:t xml:space="preserve"> looked at the approach to loss ring-fencing in other jurisdictions, and have not found any that apply an asset</w:t>
            </w:r>
            <w:r w:rsidR="006F0B73">
              <w:rPr>
                <w:sz w:val="22"/>
              </w:rPr>
              <w:t>-</w:t>
            </w:r>
            <w:r w:rsidRPr="004B21C2">
              <w:rPr>
                <w:sz w:val="22"/>
              </w:rPr>
              <w:t>by</w:t>
            </w:r>
            <w:r w:rsidR="006F0B73">
              <w:rPr>
                <w:sz w:val="22"/>
              </w:rPr>
              <w:t>-</w:t>
            </w:r>
            <w:r w:rsidRPr="004B21C2">
              <w:rPr>
                <w:sz w:val="22"/>
              </w:rPr>
              <w:t>asset approach.  Typically</w:t>
            </w:r>
            <w:r w:rsidR="006F0B73">
              <w:rPr>
                <w:sz w:val="22"/>
              </w:rPr>
              <w:t>,</w:t>
            </w:r>
            <w:r w:rsidRPr="004B21C2">
              <w:rPr>
                <w:sz w:val="22"/>
              </w:rPr>
              <w:t xml:space="preserve"> such rules are applied on a portfolio basis, or investments within particular categories are pooled (for example</w:t>
            </w:r>
            <w:r w:rsidR="006F0B73">
              <w:rPr>
                <w:sz w:val="22"/>
              </w:rPr>
              <w:t>,</w:t>
            </w:r>
            <w:r w:rsidRPr="004B21C2">
              <w:rPr>
                <w:sz w:val="22"/>
              </w:rPr>
              <w:t xml:space="preserve"> in the United States</w:t>
            </w:r>
            <w:r w:rsidR="006F0B73">
              <w:rPr>
                <w:sz w:val="22"/>
              </w:rPr>
              <w:t>,</w:t>
            </w:r>
            <w:r w:rsidRPr="004B21C2">
              <w:rPr>
                <w:sz w:val="22"/>
              </w:rPr>
              <w:t xml:space="preserve"> where ring-fencing applies to “passive activity” </w:t>
            </w:r>
            <w:r w:rsidRPr="004B21C2">
              <w:rPr>
                <w:sz w:val="22"/>
              </w:rPr>
              <w:lastRenderedPageBreak/>
              <w:t>losses).  However, a property</w:t>
            </w:r>
            <w:r w:rsidR="006F0B73">
              <w:rPr>
                <w:sz w:val="22"/>
              </w:rPr>
              <w:t>-</w:t>
            </w:r>
            <w:r w:rsidRPr="004B21C2">
              <w:rPr>
                <w:sz w:val="22"/>
              </w:rPr>
              <w:t>by</w:t>
            </w:r>
            <w:r w:rsidR="006F0B73">
              <w:rPr>
                <w:sz w:val="22"/>
              </w:rPr>
              <w:t>-</w:t>
            </w:r>
            <w:r w:rsidRPr="004B21C2">
              <w:rPr>
                <w:sz w:val="22"/>
              </w:rPr>
              <w:t xml:space="preserve">property approach could arguably be more aligned to addressing concerns that </w:t>
            </w:r>
            <w:r w:rsidRPr="004B21C2">
              <w:rPr>
                <w:sz w:val="22"/>
                <w:lang w:val="en"/>
              </w:rPr>
              <w:t>large-scale investors who own multiple rentals are able to use losses on new acquisitions to continually reduce their tax.</w:t>
            </w:r>
          </w:p>
          <w:p w14:paraId="02595AF4" w14:textId="77777777" w:rsidR="004A1188" w:rsidRPr="00A0616B" w:rsidRDefault="0096578F" w:rsidP="004A1188">
            <w:pPr>
              <w:pStyle w:val="TableText"/>
              <w:numPr>
                <w:ilvl w:val="2"/>
                <w:numId w:val="9"/>
              </w:numPr>
              <w:spacing w:before="240" w:after="240" w:line="276" w:lineRule="auto"/>
              <w:ind w:left="709" w:hanging="709"/>
              <w:rPr>
                <w:sz w:val="22"/>
              </w:rPr>
            </w:pPr>
            <w:r w:rsidRPr="00A0616B">
              <w:rPr>
                <w:sz w:val="22"/>
              </w:rPr>
              <w:t>Most s</w:t>
            </w:r>
            <w:r w:rsidR="00274F59" w:rsidRPr="00A0616B">
              <w:rPr>
                <w:sz w:val="22"/>
              </w:rPr>
              <w:t xml:space="preserve">ubmitters </w:t>
            </w:r>
            <w:r w:rsidR="006D0295" w:rsidRPr="00A0616B">
              <w:rPr>
                <w:sz w:val="22"/>
              </w:rPr>
              <w:t>on</w:t>
            </w:r>
            <w:r w:rsidRPr="00A0616B">
              <w:rPr>
                <w:sz w:val="22"/>
              </w:rPr>
              <w:t xml:space="preserve"> the officials’ issues paper supported the rules applying on a portfolio basis, as it would be easier from a compliance point of view.  However, some submitted that a portfolio approach penalises smaller “mum and dad” investors and favours investors with large portfolios.  </w:t>
            </w:r>
          </w:p>
          <w:p w14:paraId="0436820E" w14:textId="65AEFA23" w:rsidR="0096578F" w:rsidRPr="00A0616B" w:rsidRDefault="0096578F" w:rsidP="00DA18DA">
            <w:pPr>
              <w:pStyle w:val="TableText"/>
              <w:numPr>
                <w:ilvl w:val="2"/>
                <w:numId w:val="9"/>
              </w:numPr>
              <w:spacing w:before="240" w:after="240" w:line="276" w:lineRule="auto"/>
              <w:ind w:left="709" w:hanging="709"/>
              <w:rPr>
                <w:rFonts w:cs="Arial"/>
                <w:sz w:val="22"/>
              </w:rPr>
            </w:pPr>
            <w:bookmarkStart w:id="6" w:name="_Ref518406231"/>
            <w:r w:rsidRPr="00A0616B">
              <w:rPr>
                <w:sz w:val="22"/>
              </w:rPr>
              <w:t xml:space="preserve">Some submitters also suggested that taxpayers should be able to </w:t>
            </w:r>
            <w:r w:rsidR="00FB5383" w:rsidRPr="00A0616B">
              <w:rPr>
                <w:sz w:val="22"/>
              </w:rPr>
              <w:t xml:space="preserve">make an upfront </w:t>
            </w:r>
            <w:r w:rsidRPr="00A0616B">
              <w:rPr>
                <w:sz w:val="22"/>
              </w:rPr>
              <w:t>elect</w:t>
            </w:r>
            <w:r w:rsidR="00FB5383" w:rsidRPr="00A0616B">
              <w:rPr>
                <w:sz w:val="22"/>
              </w:rPr>
              <w:t>ion</w:t>
            </w:r>
            <w:r w:rsidRPr="00A0616B">
              <w:rPr>
                <w:sz w:val="22"/>
              </w:rPr>
              <w:t xml:space="preserve"> to apply the rules on a property-by-property basis if they wish</w:t>
            </w:r>
            <w:r w:rsidR="00FB5383" w:rsidRPr="00A0616B">
              <w:rPr>
                <w:sz w:val="22"/>
              </w:rPr>
              <w:t>.</w:t>
            </w:r>
            <w:r w:rsidRPr="00A0616B">
              <w:rPr>
                <w:sz w:val="22"/>
              </w:rPr>
              <w:t xml:space="preserve"> </w:t>
            </w:r>
            <w:r w:rsidR="00FB5383" w:rsidRPr="00A0616B">
              <w:rPr>
                <w:sz w:val="22"/>
              </w:rPr>
              <w:t xml:space="preserve"> I</w:t>
            </w:r>
            <w:r w:rsidRPr="00A0616B">
              <w:rPr>
                <w:sz w:val="22"/>
              </w:rPr>
              <w:t xml:space="preserve">f a property is taxed on sale </w:t>
            </w:r>
            <w:r w:rsidR="006D0295" w:rsidRPr="00A0616B">
              <w:rPr>
                <w:sz w:val="22"/>
              </w:rPr>
              <w:t>any remaining</w:t>
            </w:r>
            <w:r w:rsidRPr="00A0616B">
              <w:rPr>
                <w:sz w:val="22"/>
              </w:rPr>
              <w:t xml:space="preserve"> loss</w:t>
            </w:r>
            <w:r w:rsidR="006D0295" w:rsidRPr="00A0616B">
              <w:rPr>
                <w:sz w:val="22"/>
              </w:rPr>
              <w:t>es for that property</w:t>
            </w:r>
            <w:r w:rsidRPr="00A0616B">
              <w:rPr>
                <w:sz w:val="22"/>
              </w:rPr>
              <w:t xml:space="preserve"> c</w:t>
            </w:r>
            <w:r w:rsidR="00FB5383" w:rsidRPr="00A0616B">
              <w:rPr>
                <w:sz w:val="22"/>
              </w:rPr>
              <w:t>ould then</w:t>
            </w:r>
            <w:r w:rsidRPr="00A0616B">
              <w:rPr>
                <w:sz w:val="22"/>
              </w:rPr>
              <w:t xml:space="preserve"> be </w:t>
            </w:r>
            <w:r w:rsidR="006D0295" w:rsidRPr="00A0616B">
              <w:rPr>
                <w:sz w:val="22"/>
              </w:rPr>
              <w:t>released</w:t>
            </w:r>
            <w:r w:rsidRPr="00A0616B">
              <w:rPr>
                <w:sz w:val="22"/>
              </w:rPr>
              <w:t xml:space="preserve">.  Officials do not see any issue with taxpayers electing to apply the rules on a property-by-property </w:t>
            </w:r>
            <w:r w:rsidR="006D0295" w:rsidRPr="00A0616B">
              <w:rPr>
                <w:sz w:val="22"/>
              </w:rPr>
              <w:t>basis</w:t>
            </w:r>
            <w:r w:rsidRPr="00A0616B">
              <w:rPr>
                <w:sz w:val="22"/>
              </w:rPr>
              <w:t xml:space="preserve"> if they are willing to bear any associated compliance costs in order to be able to close out the net profit on that property.</w:t>
            </w:r>
            <w:r w:rsidR="006D0295" w:rsidRPr="00A0616B">
              <w:rPr>
                <w:sz w:val="22"/>
              </w:rPr>
              <w:t xml:space="preserve">  It is noted that some submitters advised they (or their advisors) already do this</w:t>
            </w:r>
            <w:r w:rsidR="008D5B0D" w:rsidRPr="00A0616B">
              <w:rPr>
                <w:sz w:val="22"/>
              </w:rPr>
              <w:t>, so they did not see this as adding compliance costs for them</w:t>
            </w:r>
            <w:r w:rsidR="006D0295" w:rsidRPr="00A0616B">
              <w:rPr>
                <w:sz w:val="22"/>
              </w:rPr>
              <w:t>.</w:t>
            </w:r>
            <w:r w:rsidRPr="00A0616B">
              <w:rPr>
                <w:sz w:val="22"/>
              </w:rPr>
              <w:t xml:space="preserve">  </w:t>
            </w:r>
            <w:r w:rsidR="008D5B0D" w:rsidRPr="00A0616B">
              <w:rPr>
                <w:sz w:val="22"/>
              </w:rPr>
              <w:t>This option is desirable for taxpayers if it means any remaining losses after the taxable sale of a property can be released</w:t>
            </w:r>
            <w:r w:rsidR="003F6E58">
              <w:rPr>
                <w:sz w:val="22"/>
              </w:rPr>
              <w:t xml:space="preserve"> to be used against other income</w:t>
            </w:r>
            <w:r w:rsidR="008D5B0D" w:rsidRPr="00A0616B">
              <w:rPr>
                <w:sz w:val="22"/>
              </w:rPr>
              <w:t xml:space="preserve">.  </w:t>
            </w:r>
            <w:r w:rsidRPr="00A0616B">
              <w:rPr>
                <w:sz w:val="22"/>
              </w:rPr>
              <w:t xml:space="preserve">We </w:t>
            </w:r>
            <w:r w:rsidR="008D5B0D" w:rsidRPr="00A0616B">
              <w:rPr>
                <w:sz w:val="22"/>
              </w:rPr>
              <w:t>are</w:t>
            </w:r>
            <w:r w:rsidRPr="00A0616B">
              <w:rPr>
                <w:sz w:val="22"/>
              </w:rPr>
              <w:t xml:space="preserve"> recommend</w:t>
            </w:r>
            <w:r w:rsidR="008D5B0D" w:rsidRPr="00A0616B">
              <w:rPr>
                <w:sz w:val="22"/>
              </w:rPr>
              <w:t xml:space="preserve">ing that be the case – </w:t>
            </w:r>
            <w:r w:rsidR="008D5B0D" w:rsidRPr="00552A37">
              <w:rPr>
                <w:sz w:val="22"/>
              </w:rPr>
              <w:t>t</w:t>
            </w:r>
            <w:r w:rsidRPr="00552A37">
              <w:rPr>
                <w:sz w:val="22"/>
              </w:rPr>
              <w:t>his</w:t>
            </w:r>
            <w:r w:rsidRPr="00A0616B">
              <w:rPr>
                <w:color w:val="FF0000"/>
                <w:sz w:val="22"/>
              </w:rPr>
              <w:t xml:space="preserve"> </w:t>
            </w:r>
            <w:r w:rsidRPr="00A0616B">
              <w:rPr>
                <w:sz w:val="22"/>
              </w:rPr>
              <w:t>is discussed further in 5.1.</w:t>
            </w:r>
            <w:r w:rsidR="006C184B" w:rsidRPr="00A0616B">
              <w:rPr>
                <w:sz w:val="22"/>
              </w:rPr>
              <w:t>4</w:t>
            </w:r>
            <w:r w:rsidR="00EC7A44">
              <w:rPr>
                <w:sz w:val="22"/>
              </w:rPr>
              <w:t>1</w:t>
            </w:r>
            <w:r w:rsidRPr="00A0616B">
              <w:rPr>
                <w:sz w:val="22"/>
              </w:rPr>
              <w:t>.</w:t>
            </w:r>
            <w:bookmarkEnd w:id="6"/>
          </w:p>
          <w:p w14:paraId="29F5B1FD" w14:textId="161A0E67" w:rsidR="0096578F" w:rsidRPr="00A0616B" w:rsidRDefault="0096578F" w:rsidP="0096578F">
            <w:pPr>
              <w:pStyle w:val="TableText"/>
              <w:numPr>
                <w:ilvl w:val="2"/>
                <w:numId w:val="9"/>
              </w:numPr>
              <w:spacing w:before="240" w:after="240" w:line="276" w:lineRule="auto"/>
              <w:ind w:left="709" w:hanging="709"/>
              <w:rPr>
                <w:sz w:val="22"/>
              </w:rPr>
            </w:pPr>
            <w:r w:rsidRPr="00A0616B">
              <w:rPr>
                <w:sz w:val="22"/>
              </w:rPr>
              <w:t>For the above reasons, we suggest that the</w:t>
            </w:r>
            <w:r w:rsidRPr="00A0616B">
              <w:rPr>
                <w:color w:val="000000"/>
                <w:sz w:val="22"/>
              </w:rPr>
              <w:t xml:space="preserve"> ring-fencing rules </w:t>
            </w:r>
            <w:r w:rsidR="008D5B0D" w:rsidRPr="00A0616B">
              <w:rPr>
                <w:color w:val="000000"/>
                <w:sz w:val="22"/>
              </w:rPr>
              <w:t xml:space="preserve">generally </w:t>
            </w:r>
            <w:r w:rsidR="004C4352" w:rsidRPr="00A0616B">
              <w:rPr>
                <w:color w:val="000000"/>
                <w:sz w:val="22"/>
              </w:rPr>
              <w:t>apply on a portfolio basis,</w:t>
            </w:r>
            <w:r w:rsidRPr="00A0616B">
              <w:rPr>
                <w:color w:val="000000"/>
                <w:sz w:val="22"/>
              </w:rPr>
              <w:t xml:space="preserve"> so a person with multiple properties would calculate their overall profit or loss across their whole residential portfolio</w:t>
            </w:r>
            <w:r w:rsidRPr="00A0616B">
              <w:rPr>
                <w:sz w:val="22"/>
              </w:rPr>
              <w:t xml:space="preserve">.  However, we also recommend that taxpayers who wish to elect to apply the rules on a property-by-property basis should be allowed to do so.  </w:t>
            </w:r>
          </w:p>
          <w:p w14:paraId="68D83AF2" w14:textId="00A739B9" w:rsidR="00835548" w:rsidRPr="004C4352" w:rsidRDefault="00835548" w:rsidP="00835548">
            <w:pPr>
              <w:pStyle w:val="TableText"/>
              <w:spacing w:before="240" w:after="240" w:line="276" w:lineRule="auto"/>
              <w:rPr>
                <w:rFonts w:cs="Arial"/>
                <w:b/>
                <w:i/>
                <w:sz w:val="22"/>
              </w:rPr>
            </w:pPr>
            <w:r w:rsidRPr="004C4352">
              <w:rPr>
                <w:rFonts w:cs="Arial"/>
                <w:b/>
                <w:i/>
                <w:sz w:val="22"/>
              </w:rPr>
              <w:t>Using ring-fenced losses</w:t>
            </w:r>
          </w:p>
          <w:p w14:paraId="0CB8093C" w14:textId="77777777" w:rsidR="00AF742F" w:rsidRPr="00A0616B" w:rsidRDefault="00AF742F" w:rsidP="00AF742F">
            <w:pPr>
              <w:pStyle w:val="TableText"/>
              <w:spacing w:before="240" w:after="240" w:line="276" w:lineRule="auto"/>
              <w:rPr>
                <w:rFonts w:cs="Arial"/>
                <w:i/>
              </w:rPr>
            </w:pPr>
            <w:r w:rsidRPr="00A0616B">
              <w:rPr>
                <w:rFonts w:cs="Arial"/>
                <w:i/>
                <w:sz w:val="22"/>
              </w:rPr>
              <w:t>Grouping losses</w:t>
            </w:r>
          </w:p>
          <w:p w14:paraId="0B47070F" w14:textId="64012D4F" w:rsidR="00AF742F" w:rsidRPr="00A0616B" w:rsidRDefault="00AF742F" w:rsidP="00AF742F">
            <w:pPr>
              <w:pStyle w:val="TableText"/>
              <w:numPr>
                <w:ilvl w:val="2"/>
                <w:numId w:val="9"/>
              </w:numPr>
              <w:spacing w:before="240" w:line="276" w:lineRule="auto"/>
              <w:rPr>
                <w:rFonts w:cs="Arial"/>
                <w:sz w:val="22"/>
              </w:rPr>
            </w:pPr>
            <w:r w:rsidRPr="00A0616B">
              <w:rPr>
                <w:rFonts w:cs="Arial"/>
                <w:sz w:val="22"/>
              </w:rPr>
              <w:t xml:space="preserve">In addition to the design features in Option </w:t>
            </w:r>
            <w:r w:rsidR="003F6E58">
              <w:rPr>
                <w:rFonts w:cs="Arial"/>
                <w:sz w:val="22"/>
              </w:rPr>
              <w:t>2</w:t>
            </w:r>
            <w:r w:rsidRPr="00A0616B">
              <w:rPr>
                <w:rFonts w:cs="Arial"/>
                <w:sz w:val="22"/>
              </w:rPr>
              <w:t xml:space="preserve">, it has been submitted that losses should be able to be transferred between companies under the grouping rules.  </w:t>
            </w:r>
            <w:r w:rsidR="003F6E58">
              <w:rPr>
                <w:rFonts w:cs="Arial"/>
                <w:sz w:val="22"/>
              </w:rPr>
              <w:t>O</w:t>
            </w:r>
            <w:r w:rsidRPr="00A0616B">
              <w:rPr>
                <w:rFonts w:cs="Arial"/>
                <w:sz w:val="22"/>
              </w:rPr>
              <w:t>ften a corporate group will hold rental properties in a different entity to trading business properties.</w:t>
            </w:r>
          </w:p>
          <w:p w14:paraId="3EE69022" w14:textId="77777777" w:rsidR="00AF742F" w:rsidRPr="00A0616B" w:rsidRDefault="00AF742F" w:rsidP="00AF742F">
            <w:pPr>
              <w:pStyle w:val="TableText"/>
              <w:numPr>
                <w:ilvl w:val="2"/>
                <w:numId w:val="9"/>
              </w:numPr>
              <w:spacing w:before="240" w:line="276" w:lineRule="auto"/>
              <w:rPr>
                <w:rFonts w:cs="Arial"/>
                <w:sz w:val="22"/>
              </w:rPr>
            </w:pPr>
            <w:r w:rsidRPr="00A0616B">
              <w:rPr>
                <w:rFonts w:cs="Arial"/>
                <w:sz w:val="22"/>
              </w:rPr>
              <w:t xml:space="preserve">We agree that ring-fenced losses should be able to be transferred between companies, but that this should be limited to companies in the same wholly-owned group, as the economic ownership is the same in that situation.  It is acknowledged that this would be a higher threshold than is applied for the grouping of other losses.  </w:t>
            </w:r>
          </w:p>
          <w:p w14:paraId="2E343F58" w14:textId="77777777" w:rsidR="00AF742F" w:rsidRPr="00A0616B" w:rsidRDefault="00AF742F" w:rsidP="00AF742F">
            <w:pPr>
              <w:pStyle w:val="TableText"/>
              <w:numPr>
                <w:ilvl w:val="2"/>
                <w:numId w:val="9"/>
              </w:numPr>
              <w:spacing w:before="240" w:line="276" w:lineRule="auto"/>
              <w:rPr>
                <w:rFonts w:cs="Arial"/>
                <w:sz w:val="22"/>
              </w:rPr>
            </w:pPr>
            <w:r w:rsidRPr="00A0616B">
              <w:rPr>
                <w:rFonts w:cs="Arial"/>
                <w:sz w:val="22"/>
              </w:rPr>
              <w:t>Transferred losses should remain ring-fenced, so they are only able to be used in the relevant income year to the extent the transferee company has residential rental income or residential land sale income, with any remaining losses being carried forward and remaining ring-fenced.</w:t>
            </w:r>
          </w:p>
          <w:p w14:paraId="79F9CE3A" w14:textId="4CB5D8FC" w:rsidR="004A1188" w:rsidRPr="00A0616B" w:rsidRDefault="004A1188" w:rsidP="004A1188">
            <w:pPr>
              <w:pStyle w:val="TableText"/>
              <w:spacing w:before="240" w:after="240" w:line="276" w:lineRule="auto"/>
              <w:rPr>
                <w:rFonts w:cs="Arial"/>
                <w:i/>
                <w:sz w:val="22"/>
              </w:rPr>
            </w:pPr>
            <w:r w:rsidRPr="00A0616B">
              <w:rPr>
                <w:rFonts w:cs="Arial"/>
                <w:i/>
                <w:sz w:val="22"/>
              </w:rPr>
              <w:t xml:space="preserve">Carrying back ring-fenced losses </w:t>
            </w:r>
          </w:p>
          <w:p w14:paraId="4594D2AB" w14:textId="1C342018" w:rsidR="000271A2" w:rsidRPr="00A0616B" w:rsidRDefault="000271A2" w:rsidP="000271A2">
            <w:pPr>
              <w:pStyle w:val="TableText"/>
              <w:numPr>
                <w:ilvl w:val="2"/>
                <w:numId w:val="9"/>
              </w:numPr>
              <w:spacing w:before="240" w:line="276" w:lineRule="auto"/>
              <w:rPr>
                <w:rFonts w:cs="Arial"/>
                <w:sz w:val="22"/>
              </w:rPr>
            </w:pPr>
            <w:r w:rsidRPr="00A0616B">
              <w:rPr>
                <w:rFonts w:cs="Arial"/>
                <w:sz w:val="22"/>
              </w:rPr>
              <w:t>Some submitters suggested that losses should be able to be carried back as a typically profit-making property may make a loss in one year due, for example</w:t>
            </w:r>
            <w:r w:rsidR="003F6E58">
              <w:rPr>
                <w:rFonts w:cs="Arial"/>
                <w:sz w:val="22"/>
              </w:rPr>
              <w:t>,</w:t>
            </w:r>
            <w:r w:rsidRPr="00A0616B">
              <w:rPr>
                <w:rFonts w:cs="Arial"/>
                <w:sz w:val="22"/>
              </w:rPr>
              <w:t xml:space="preserve"> to </w:t>
            </w:r>
            <w:r w:rsidRPr="00A0616B">
              <w:rPr>
                <w:rFonts w:cs="Arial"/>
                <w:sz w:val="22"/>
              </w:rPr>
              <w:lastRenderedPageBreak/>
              <w:t>large repairs and maintenance expenses or a period of vacancy.</w:t>
            </w:r>
          </w:p>
          <w:p w14:paraId="10880BE8" w14:textId="280A227C" w:rsidR="004A1188" w:rsidRPr="00A0616B" w:rsidRDefault="000271A2" w:rsidP="000271A2">
            <w:pPr>
              <w:pStyle w:val="TableText"/>
              <w:numPr>
                <w:ilvl w:val="2"/>
                <w:numId w:val="9"/>
              </w:numPr>
              <w:spacing w:before="240" w:line="276" w:lineRule="auto"/>
              <w:rPr>
                <w:rFonts w:cs="Arial"/>
                <w:sz w:val="22"/>
              </w:rPr>
            </w:pPr>
            <w:r w:rsidRPr="00A0616B">
              <w:rPr>
                <w:rFonts w:cs="Arial"/>
                <w:sz w:val="22"/>
              </w:rPr>
              <w:t xml:space="preserve">We do not recommend that losses be able to be carried back.  This would add complexity, and if a property is typically profit-making the carried forward losses would be available to offset against income in future years.  Allowing losses to be carried back would also be inconsistent with general policy settings. </w:t>
            </w:r>
          </w:p>
          <w:p w14:paraId="7F697656" w14:textId="775223B2" w:rsidR="004A1188" w:rsidRPr="00A0616B" w:rsidRDefault="004A1188" w:rsidP="004A1188">
            <w:pPr>
              <w:pStyle w:val="TableText"/>
              <w:spacing w:before="240" w:after="240" w:line="276" w:lineRule="auto"/>
              <w:rPr>
                <w:rFonts w:cs="Arial"/>
                <w:i/>
                <w:sz w:val="22"/>
              </w:rPr>
            </w:pPr>
            <w:r w:rsidRPr="00A0616B">
              <w:rPr>
                <w:rFonts w:cs="Arial"/>
                <w:i/>
                <w:sz w:val="22"/>
              </w:rPr>
              <w:t xml:space="preserve">Shareholder continuity </w:t>
            </w:r>
          </w:p>
          <w:p w14:paraId="1A1A30D1" w14:textId="16BFFDE1" w:rsidR="000271A2" w:rsidRPr="00A0616B" w:rsidRDefault="000271A2" w:rsidP="000271A2">
            <w:pPr>
              <w:pStyle w:val="TableText"/>
              <w:numPr>
                <w:ilvl w:val="2"/>
                <w:numId w:val="9"/>
              </w:numPr>
              <w:spacing w:before="240" w:line="276" w:lineRule="auto"/>
              <w:rPr>
                <w:rFonts w:cs="Arial"/>
                <w:sz w:val="22"/>
              </w:rPr>
            </w:pPr>
            <w:r w:rsidRPr="00A0616B">
              <w:rPr>
                <w:rFonts w:cs="Arial"/>
                <w:sz w:val="22"/>
              </w:rPr>
              <w:t xml:space="preserve">It has been submitted that companies could have losses ring-fenced when their overall position is tax paying, and that this would be unfair.  It has been suggested either that the 49% shareholder continuity requirement should not apply to ring-fenced rental losses, or failing that, that if shareholder continuity is breached, losses should be </w:t>
            </w:r>
            <w:r w:rsidR="003F6E58">
              <w:rPr>
                <w:rFonts w:cs="Arial"/>
                <w:sz w:val="22"/>
              </w:rPr>
              <w:t>made</w:t>
            </w:r>
            <w:r w:rsidRPr="00A0616B">
              <w:rPr>
                <w:rFonts w:cs="Arial"/>
                <w:sz w:val="22"/>
              </w:rPr>
              <w:t xml:space="preserve"> available to offset against other income.</w:t>
            </w:r>
          </w:p>
          <w:p w14:paraId="261A0AA1" w14:textId="50E33894" w:rsidR="000271A2" w:rsidRPr="00A0616B" w:rsidRDefault="000271A2" w:rsidP="000271A2">
            <w:pPr>
              <w:pStyle w:val="TableText"/>
              <w:numPr>
                <w:ilvl w:val="2"/>
                <w:numId w:val="9"/>
              </w:numPr>
              <w:spacing w:before="240" w:line="276" w:lineRule="auto"/>
              <w:rPr>
                <w:rFonts w:cs="Arial"/>
                <w:sz w:val="22"/>
              </w:rPr>
            </w:pPr>
            <w:r w:rsidRPr="00A0616B">
              <w:rPr>
                <w:rFonts w:cs="Arial"/>
                <w:sz w:val="22"/>
              </w:rPr>
              <w:t>The shareholder continuity rules reflect that it should be the shareholders at the time company losses arise who are able to benefit from them in the future.</w:t>
            </w:r>
          </w:p>
          <w:p w14:paraId="2C0AAD08" w14:textId="19B35D44" w:rsidR="004A1188" w:rsidRPr="00A0616B" w:rsidRDefault="000271A2" w:rsidP="000271A2">
            <w:pPr>
              <w:pStyle w:val="TableText"/>
              <w:numPr>
                <w:ilvl w:val="2"/>
                <w:numId w:val="9"/>
              </w:numPr>
              <w:spacing w:before="240" w:line="276" w:lineRule="auto"/>
              <w:rPr>
                <w:rFonts w:cs="Arial"/>
                <w:sz w:val="22"/>
              </w:rPr>
            </w:pPr>
            <w:r w:rsidRPr="00A0616B">
              <w:rPr>
                <w:rFonts w:cs="Arial"/>
                <w:sz w:val="22"/>
              </w:rPr>
              <w:t>We consider that it would undermine the credibility and fairness of the loss ring-fencing rules if ring-fenced rental losses were not subject to the shareholder continuity requirement, or if losses were released when continuity is breached.</w:t>
            </w:r>
          </w:p>
          <w:p w14:paraId="179B845A" w14:textId="49776FCC" w:rsidR="009104D7" w:rsidRPr="000B5EA9" w:rsidRDefault="009B05A3" w:rsidP="00E74CC1">
            <w:pPr>
              <w:pStyle w:val="TableText"/>
              <w:spacing w:before="240" w:after="240" w:line="276" w:lineRule="auto"/>
              <w:rPr>
                <w:rFonts w:cs="Arial"/>
                <w:b/>
                <w:i/>
                <w:sz w:val="22"/>
              </w:rPr>
            </w:pPr>
            <w:r w:rsidRPr="000B5EA9">
              <w:rPr>
                <w:rFonts w:cs="Arial"/>
                <w:b/>
                <w:i/>
                <w:sz w:val="22"/>
              </w:rPr>
              <w:t>Release</w:t>
            </w:r>
            <w:r w:rsidR="009104D7" w:rsidRPr="000B5EA9">
              <w:rPr>
                <w:rFonts w:cs="Arial"/>
                <w:b/>
                <w:i/>
                <w:sz w:val="22"/>
              </w:rPr>
              <w:t xml:space="preserve"> of losses</w:t>
            </w:r>
            <w:r w:rsidRPr="000B5EA9">
              <w:rPr>
                <w:rFonts w:cs="Arial"/>
                <w:b/>
                <w:i/>
                <w:sz w:val="22"/>
              </w:rPr>
              <w:t xml:space="preserve"> on sale</w:t>
            </w:r>
          </w:p>
          <w:p w14:paraId="590863E3" w14:textId="084F1277" w:rsidR="004B21C2" w:rsidRPr="000538FA" w:rsidRDefault="0023080B" w:rsidP="00DA18DA">
            <w:pPr>
              <w:pStyle w:val="TableText"/>
              <w:numPr>
                <w:ilvl w:val="2"/>
                <w:numId w:val="9"/>
              </w:numPr>
              <w:spacing w:before="240" w:after="240" w:line="276" w:lineRule="auto"/>
              <w:ind w:left="709" w:hanging="709"/>
              <w:rPr>
                <w:sz w:val="22"/>
              </w:rPr>
            </w:pPr>
            <w:bookmarkStart w:id="7" w:name="_Ref501051076"/>
            <w:r w:rsidRPr="000538FA">
              <w:rPr>
                <w:rFonts w:cs="Arial"/>
                <w:color w:val="000000"/>
                <w:sz w:val="22"/>
              </w:rPr>
              <w:t>I</w:t>
            </w:r>
            <w:r w:rsidRPr="000538FA">
              <w:rPr>
                <w:sz w:val="22"/>
              </w:rPr>
              <w:t xml:space="preserve">n the </w:t>
            </w:r>
            <w:r w:rsidRPr="005F70B6">
              <w:rPr>
                <w:rFonts w:cs="Arial"/>
                <w:sz w:val="22"/>
              </w:rPr>
              <w:t>case</w:t>
            </w:r>
            <w:r w:rsidRPr="000538FA">
              <w:rPr>
                <w:sz w:val="22"/>
              </w:rPr>
              <w:t xml:space="preserve"> of a property with ring-fenced rental losses that is taxed under one of the land sale rules on disposal, there is an argument that the losses should be able to </w:t>
            </w:r>
            <w:r w:rsidR="000822DA">
              <w:rPr>
                <w:sz w:val="22"/>
              </w:rPr>
              <w:t xml:space="preserve">be </w:t>
            </w:r>
            <w:r w:rsidRPr="000538FA">
              <w:rPr>
                <w:sz w:val="22"/>
              </w:rPr>
              <w:t>fully utilised (ie, un-fenced) at that point, and be used to offset any other income of the taxpayer.  This would reflect that all of the economic income from the investment has been taxed (the rental stream and the capital gain), and that the investor should not be penalised for making an overall loss on the investment.</w:t>
            </w:r>
            <w:bookmarkEnd w:id="7"/>
            <w:r w:rsidR="00E54E93">
              <w:rPr>
                <w:sz w:val="22"/>
              </w:rPr>
              <w:t xml:space="preserve">  For this reason, not releasing losses that relate to a particular property on a taxable sale of that property would undermine neutrality and fairness.</w:t>
            </w:r>
          </w:p>
          <w:p w14:paraId="26C8B8FE" w14:textId="4B208C26" w:rsidR="0023080B" w:rsidRPr="000538FA" w:rsidRDefault="0023080B" w:rsidP="00DA18DA">
            <w:pPr>
              <w:pStyle w:val="TableText"/>
              <w:numPr>
                <w:ilvl w:val="2"/>
                <w:numId w:val="9"/>
              </w:numPr>
              <w:spacing w:before="240" w:after="240" w:line="276" w:lineRule="auto"/>
              <w:ind w:left="709" w:hanging="709"/>
              <w:rPr>
                <w:sz w:val="22"/>
              </w:rPr>
            </w:pPr>
            <w:r w:rsidRPr="005F70B6">
              <w:rPr>
                <w:rFonts w:cs="Arial"/>
                <w:sz w:val="22"/>
              </w:rPr>
              <w:t>However</w:t>
            </w:r>
            <w:r w:rsidRPr="000538FA">
              <w:rPr>
                <w:sz w:val="22"/>
              </w:rPr>
              <w:t xml:space="preserve">, if the rules are applied on a portfolio basis (which is the preferred option – </w:t>
            </w:r>
            <w:r w:rsidRPr="00A0616B">
              <w:rPr>
                <w:sz w:val="22"/>
              </w:rPr>
              <w:t xml:space="preserve">see </w:t>
            </w:r>
            <w:r w:rsidR="00F10F9E" w:rsidRPr="00A0616B">
              <w:rPr>
                <w:sz w:val="22"/>
              </w:rPr>
              <w:t>5.1.</w:t>
            </w:r>
            <w:r w:rsidR="00053E2D" w:rsidRPr="00A0616B">
              <w:rPr>
                <w:sz w:val="22"/>
              </w:rPr>
              <w:t>21</w:t>
            </w:r>
            <w:r w:rsidR="00F10F9E" w:rsidRPr="00A0616B">
              <w:rPr>
                <w:sz w:val="22"/>
              </w:rPr>
              <w:t xml:space="preserve"> to 5.1.</w:t>
            </w:r>
            <w:r w:rsidR="00053E2D" w:rsidRPr="00A0616B">
              <w:rPr>
                <w:sz w:val="22"/>
              </w:rPr>
              <w:t>27</w:t>
            </w:r>
            <w:r w:rsidRPr="000538FA">
              <w:rPr>
                <w:sz w:val="22"/>
              </w:rPr>
              <w:t>), a</w:t>
            </w:r>
            <w:r w:rsidRPr="000538FA">
              <w:rPr>
                <w:color w:val="000000"/>
                <w:sz w:val="22"/>
              </w:rPr>
              <w:t>llowing</w:t>
            </w:r>
            <w:r w:rsidRPr="000538FA">
              <w:rPr>
                <w:sz w:val="22"/>
              </w:rPr>
              <w:t xml:space="preserve"> accumulated rental losses to give rise to a tax loss on a disposal subject to one of the land sale rules would create risks.  For example, it would enable a portfolio investor to sell a property that has made a small capital gain within the bright-line period, offset that gain with ring-fenced losses from across their portfolio, and apply any remaining losses from the portfolio against other income.  While there are ring-fencing rules in relation to the bright-line test, they only apply to deductions for the cost of the </w:t>
            </w:r>
            <w:r w:rsidR="000002FA">
              <w:rPr>
                <w:sz w:val="22"/>
              </w:rPr>
              <w:t>property</w:t>
            </w:r>
            <w:r w:rsidRPr="000538FA">
              <w:rPr>
                <w:sz w:val="22"/>
              </w:rPr>
              <w:t>, not other costs.</w:t>
            </w:r>
          </w:p>
          <w:p w14:paraId="08C07207" w14:textId="34973A43" w:rsidR="0023080B" w:rsidRDefault="0023080B" w:rsidP="00DA18DA">
            <w:pPr>
              <w:pStyle w:val="TableText"/>
              <w:numPr>
                <w:ilvl w:val="2"/>
                <w:numId w:val="9"/>
              </w:numPr>
              <w:spacing w:before="240" w:after="240" w:line="276" w:lineRule="auto"/>
              <w:ind w:left="709" w:hanging="709"/>
              <w:rPr>
                <w:sz w:val="22"/>
              </w:rPr>
            </w:pPr>
            <w:r w:rsidRPr="005F70B6">
              <w:rPr>
                <w:rFonts w:cs="Arial"/>
                <w:sz w:val="22"/>
              </w:rPr>
              <w:t>Enabling</w:t>
            </w:r>
            <w:r w:rsidRPr="000538FA">
              <w:rPr>
                <w:sz w:val="22"/>
              </w:rPr>
              <w:t xml:space="preserve"> taxpayers to sell their lowest capital gain makers within the bright-line period and access what might be substantial portfolio-wide accumulated ring-fenced losses would significantly undermine the credibility of the rules.</w:t>
            </w:r>
          </w:p>
          <w:p w14:paraId="08BB209E" w14:textId="23D809EA" w:rsidR="00C20E76" w:rsidRPr="00A0616B" w:rsidRDefault="00E54E93" w:rsidP="00C20E76">
            <w:pPr>
              <w:pStyle w:val="TableText"/>
              <w:numPr>
                <w:ilvl w:val="2"/>
                <w:numId w:val="9"/>
              </w:numPr>
              <w:spacing w:before="240" w:after="240" w:line="276" w:lineRule="auto"/>
              <w:ind w:left="709" w:hanging="709"/>
              <w:rPr>
                <w:sz w:val="22"/>
              </w:rPr>
            </w:pPr>
            <w:r>
              <w:rPr>
                <w:sz w:val="22"/>
              </w:rPr>
              <w:t xml:space="preserve">Release on taxable sale, recognising that the full economic income had been taxed, would be the preferred option if the ring-fencing rules were to apply on a property-by-property basis.  This is because it would only be losses that relate to the particular property that would be released.  </w:t>
            </w:r>
            <w:r w:rsidR="00C20E76" w:rsidRPr="00A0616B">
              <w:rPr>
                <w:sz w:val="22"/>
              </w:rPr>
              <w:t>A</w:t>
            </w:r>
            <w:r w:rsidRPr="00A0616B">
              <w:rPr>
                <w:sz w:val="22"/>
              </w:rPr>
              <w:t>s noted at 5.1.2</w:t>
            </w:r>
            <w:r w:rsidR="00053E2D" w:rsidRPr="00A0616B">
              <w:rPr>
                <w:sz w:val="22"/>
              </w:rPr>
              <w:t>1</w:t>
            </w:r>
            <w:r w:rsidRPr="00A0616B">
              <w:rPr>
                <w:sz w:val="22"/>
              </w:rPr>
              <w:t xml:space="preserve">, a portfolio approach is preferred to a property-by-property approach because it would be </w:t>
            </w:r>
            <w:r w:rsidRPr="00A0616B">
              <w:rPr>
                <w:sz w:val="22"/>
              </w:rPr>
              <w:lastRenderedPageBreak/>
              <w:t>significantly simpler from a compliance and administrative point of view.</w:t>
            </w:r>
            <w:r w:rsidR="00C20E76" w:rsidRPr="00A0616B">
              <w:rPr>
                <w:sz w:val="22"/>
              </w:rPr>
              <w:t xml:space="preserve">  However, as also noted at</w:t>
            </w:r>
            <w:r w:rsidR="008D5B0D" w:rsidRPr="00A0616B">
              <w:rPr>
                <w:sz w:val="22"/>
              </w:rPr>
              <w:t xml:space="preserve"> </w:t>
            </w:r>
            <w:r w:rsidR="008D5B0D" w:rsidRPr="00A0616B">
              <w:rPr>
                <w:sz w:val="22"/>
              </w:rPr>
              <w:fldChar w:fldCharType="begin"/>
            </w:r>
            <w:r w:rsidR="008D5B0D" w:rsidRPr="00A0616B">
              <w:rPr>
                <w:sz w:val="22"/>
              </w:rPr>
              <w:instrText xml:space="preserve"> REF _Ref518406231 \r \h </w:instrText>
            </w:r>
            <w:r w:rsidR="00A0616B">
              <w:rPr>
                <w:sz w:val="22"/>
              </w:rPr>
              <w:instrText xml:space="preserve"> \* MERGEFORMAT </w:instrText>
            </w:r>
            <w:r w:rsidR="008D5B0D" w:rsidRPr="00A0616B">
              <w:rPr>
                <w:sz w:val="22"/>
              </w:rPr>
            </w:r>
            <w:r w:rsidR="008D5B0D" w:rsidRPr="00A0616B">
              <w:rPr>
                <w:sz w:val="22"/>
              </w:rPr>
              <w:fldChar w:fldCharType="separate"/>
            </w:r>
            <w:r w:rsidR="004B5E91">
              <w:rPr>
                <w:sz w:val="22"/>
              </w:rPr>
              <w:t>5.1.27</w:t>
            </w:r>
            <w:r w:rsidR="008D5B0D" w:rsidRPr="00A0616B">
              <w:rPr>
                <w:sz w:val="22"/>
              </w:rPr>
              <w:fldChar w:fldCharType="end"/>
            </w:r>
            <w:r w:rsidR="00C20E76" w:rsidRPr="00A0616B">
              <w:rPr>
                <w:sz w:val="22"/>
              </w:rPr>
              <w:t>, we are recommending that taxpayers who wish to elect to apply the rules on a property-by-property basis be able to do so.  For those properties, we think that the preferred option of fully releasing the ring-fenced losses should be adopted.</w:t>
            </w:r>
            <w:r w:rsidR="008D5B0D" w:rsidRPr="00A0616B">
              <w:rPr>
                <w:sz w:val="22"/>
              </w:rPr>
              <w:t xml:space="preserve">  </w:t>
            </w:r>
            <w:r w:rsidR="00AF742F" w:rsidRPr="00A0616B">
              <w:rPr>
                <w:sz w:val="22"/>
              </w:rPr>
              <w:t xml:space="preserve">This design feature would be in addition to the features identified in Option A.  The new design feature of allowing an election to apply the rules on a property-by-property approach enables all the losses associated with a given property to be used against that property upon a taxable sale.  </w:t>
            </w:r>
          </w:p>
          <w:p w14:paraId="5CE4B7AA" w14:textId="4D0E82E7" w:rsidR="0023080B" w:rsidRPr="00552A37" w:rsidRDefault="0023080B" w:rsidP="00DA18DA">
            <w:pPr>
              <w:pStyle w:val="TableText"/>
              <w:numPr>
                <w:ilvl w:val="2"/>
                <w:numId w:val="9"/>
              </w:numPr>
              <w:spacing w:before="240" w:after="240" w:line="276" w:lineRule="auto"/>
              <w:ind w:left="709" w:hanging="709"/>
              <w:rPr>
                <w:color w:val="000000"/>
                <w:sz w:val="22"/>
              </w:rPr>
            </w:pPr>
            <w:r w:rsidRPr="000538FA">
              <w:rPr>
                <w:sz w:val="22"/>
              </w:rPr>
              <w:t xml:space="preserve">We </w:t>
            </w:r>
            <w:r w:rsidRPr="005F70B6">
              <w:rPr>
                <w:rFonts w:cs="Arial"/>
                <w:sz w:val="22"/>
              </w:rPr>
              <w:t>therefore</w:t>
            </w:r>
            <w:r w:rsidRPr="000538FA">
              <w:rPr>
                <w:color w:val="000000"/>
                <w:sz w:val="22"/>
              </w:rPr>
              <w:t xml:space="preserve"> do not consider that ring-fenced losses should </w:t>
            </w:r>
            <w:r w:rsidR="00C20E76">
              <w:rPr>
                <w:color w:val="000000"/>
                <w:sz w:val="22"/>
              </w:rPr>
              <w:t xml:space="preserve">generally </w:t>
            </w:r>
            <w:r w:rsidRPr="000538FA">
              <w:rPr>
                <w:color w:val="000000"/>
                <w:sz w:val="22"/>
              </w:rPr>
              <w:t xml:space="preserve">be fully released on a taxable sale of residential property, meaning the losses </w:t>
            </w:r>
            <w:r w:rsidR="000538FA" w:rsidRPr="000538FA">
              <w:rPr>
                <w:color w:val="000000"/>
                <w:sz w:val="22"/>
              </w:rPr>
              <w:t xml:space="preserve">(if not exhausted from offsetting the income derived on sale) </w:t>
            </w:r>
            <w:r w:rsidRPr="000538FA">
              <w:rPr>
                <w:color w:val="000000"/>
                <w:sz w:val="22"/>
              </w:rPr>
              <w:t xml:space="preserve">would be able to be used </w:t>
            </w:r>
            <w:r w:rsidR="000538FA" w:rsidRPr="000538FA">
              <w:rPr>
                <w:color w:val="000000"/>
                <w:sz w:val="22"/>
              </w:rPr>
              <w:t>to offset</w:t>
            </w:r>
            <w:r w:rsidRPr="000538FA">
              <w:rPr>
                <w:color w:val="000000"/>
                <w:sz w:val="22"/>
              </w:rPr>
              <w:t xml:space="preserve"> other income.</w:t>
            </w:r>
            <w:r w:rsidR="00C20E76">
              <w:rPr>
                <w:color w:val="000000"/>
                <w:sz w:val="22"/>
              </w:rPr>
              <w:t xml:space="preserve">  </w:t>
            </w:r>
            <w:r w:rsidR="00C20E76" w:rsidRPr="00A0616B">
              <w:rPr>
                <w:color w:val="000000"/>
                <w:sz w:val="22"/>
              </w:rPr>
              <w:t xml:space="preserve">However, for those properties which have had the rules applied to them on a property-by-property basis on the taxpayer’s election, we recommend that the losses become fully unfenced if they are taxed upon sale.  </w:t>
            </w:r>
            <w:r w:rsidR="000002FA">
              <w:rPr>
                <w:color w:val="000000"/>
                <w:sz w:val="22"/>
              </w:rPr>
              <w:t xml:space="preserve">This would also be the case where the rules applied on a portfolio basis and all of the properties in a portfolio were sold and taxed.  </w:t>
            </w:r>
            <w:r w:rsidR="00C20E76" w:rsidRPr="00A0616B">
              <w:rPr>
                <w:sz w:val="22"/>
              </w:rPr>
              <w:t xml:space="preserve">This would most commonly be the case for land that was taxable under the </w:t>
            </w:r>
            <w:r w:rsidR="008D5B0D" w:rsidRPr="00A0616B">
              <w:rPr>
                <w:sz w:val="22"/>
              </w:rPr>
              <w:t>b</w:t>
            </w:r>
            <w:r w:rsidR="00C20E76" w:rsidRPr="00A0616B">
              <w:rPr>
                <w:sz w:val="22"/>
              </w:rPr>
              <w:t>right</w:t>
            </w:r>
            <w:r w:rsidR="008D5B0D" w:rsidRPr="00A0616B">
              <w:rPr>
                <w:sz w:val="22"/>
              </w:rPr>
              <w:t>-l</w:t>
            </w:r>
            <w:r w:rsidR="00C20E76" w:rsidRPr="00A0616B">
              <w:rPr>
                <w:sz w:val="22"/>
              </w:rPr>
              <w:t xml:space="preserve">ine test because it was sold within five years of acquisition.  </w:t>
            </w:r>
          </w:p>
          <w:p w14:paraId="5EC6368E" w14:textId="0F87ACDC" w:rsidR="00303285" w:rsidRPr="00552A37" w:rsidRDefault="00303285" w:rsidP="00552A37">
            <w:pPr>
              <w:pStyle w:val="TableText"/>
              <w:numPr>
                <w:ilvl w:val="2"/>
                <w:numId w:val="9"/>
              </w:numPr>
              <w:spacing w:before="240" w:after="240" w:line="276" w:lineRule="auto"/>
              <w:rPr>
                <w:color w:val="000000"/>
                <w:sz w:val="22"/>
              </w:rPr>
            </w:pPr>
            <w:r>
              <w:rPr>
                <w:sz w:val="22"/>
              </w:rPr>
              <w:t xml:space="preserve">We do not recommend that losses become released </w:t>
            </w:r>
            <w:r w:rsidRPr="00303285">
              <w:rPr>
                <w:sz w:val="22"/>
              </w:rPr>
              <w:t>on any sale of residential land</w:t>
            </w:r>
            <w:r>
              <w:rPr>
                <w:sz w:val="22"/>
              </w:rPr>
              <w:t xml:space="preserve"> if there was no tax on the sale of that property.  </w:t>
            </w:r>
            <w:r w:rsidR="00C825AB">
              <w:rPr>
                <w:sz w:val="22"/>
              </w:rPr>
              <w:t>R</w:t>
            </w:r>
            <w:r w:rsidR="00C825AB" w:rsidRPr="00C825AB">
              <w:rPr>
                <w:sz w:val="22"/>
              </w:rPr>
              <w:t>eleasing losses on a non-taxable disposal would reduce the impact of ring-fencing to one of timing alone, which would reduce the effectiveness of the measure</w:t>
            </w:r>
            <w:r w:rsidR="00C825AB">
              <w:rPr>
                <w:sz w:val="22"/>
              </w:rPr>
              <w:t>.</w:t>
            </w:r>
          </w:p>
          <w:p w14:paraId="10D86445" w14:textId="4F84F33A" w:rsidR="009104D7" w:rsidRPr="000B5EA9" w:rsidRDefault="009104D7" w:rsidP="00E74CC1">
            <w:pPr>
              <w:pStyle w:val="TableText"/>
              <w:spacing w:before="240" w:after="240" w:line="276" w:lineRule="auto"/>
              <w:rPr>
                <w:rFonts w:cs="Arial"/>
                <w:b/>
                <w:i/>
                <w:sz w:val="22"/>
              </w:rPr>
            </w:pPr>
            <w:r w:rsidRPr="000B5EA9">
              <w:rPr>
                <w:rFonts w:cs="Arial"/>
                <w:b/>
                <w:i/>
                <w:sz w:val="22"/>
              </w:rPr>
              <w:t>Anti-structuring rules</w:t>
            </w:r>
          </w:p>
          <w:p w14:paraId="7525D5A3" w14:textId="24D164F6" w:rsidR="009104D7" w:rsidRPr="00B15549" w:rsidRDefault="00387B4B" w:rsidP="00DA18DA">
            <w:pPr>
              <w:pStyle w:val="TableText"/>
              <w:numPr>
                <w:ilvl w:val="2"/>
                <w:numId w:val="9"/>
              </w:numPr>
              <w:spacing w:before="240" w:after="240" w:line="276" w:lineRule="auto"/>
              <w:ind w:left="709" w:hanging="709"/>
              <w:rPr>
                <w:sz w:val="22"/>
              </w:rPr>
            </w:pPr>
            <w:r w:rsidRPr="00B15549">
              <w:rPr>
                <w:color w:val="000000"/>
                <w:sz w:val="22"/>
              </w:rPr>
              <w:t>There</w:t>
            </w:r>
            <w:r w:rsidRPr="00B15549">
              <w:rPr>
                <w:sz w:val="22"/>
              </w:rPr>
              <w:t xml:space="preserve"> </w:t>
            </w:r>
            <w:r w:rsidRPr="005F70B6">
              <w:rPr>
                <w:rFonts w:cs="Arial"/>
                <w:sz w:val="22"/>
              </w:rPr>
              <w:t>are</w:t>
            </w:r>
            <w:r w:rsidRPr="00B15549">
              <w:rPr>
                <w:sz w:val="22"/>
              </w:rPr>
              <w:t xml:space="preserve"> two main structuring opportunities that have been considered in terms of whether specific rules are required.  These concern interest allocation and the interposing of entities.</w:t>
            </w:r>
          </w:p>
          <w:p w14:paraId="101AED77" w14:textId="3A73C9BE" w:rsidR="00387B4B" w:rsidRPr="000B5EA9" w:rsidRDefault="00387B4B" w:rsidP="00E74CC1">
            <w:pPr>
              <w:pStyle w:val="TableText"/>
              <w:spacing w:before="240" w:after="240" w:line="276" w:lineRule="auto"/>
              <w:rPr>
                <w:rFonts w:cs="Arial"/>
                <w:i/>
                <w:sz w:val="24"/>
              </w:rPr>
            </w:pPr>
            <w:r w:rsidRPr="000B5EA9">
              <w:rPr>
                <w:i/>
                <w:sz w:val="22"/>
              </w:rPr>
              <w:t>Specific interest allocation rules</w:t>
            </w:r>
          </w:p>
          <w:p w14:paraId="178BB7E6" w14:textId="6A8E5A02" w:rsidR="00A70775" w:rsidRPr="00E466E8" w:rsidRDefault="00387B4B" w:rsidP="00DA18DA">
            <w:pPr>
              <w:pStyle w:val="TableText"/>
              <w:numPr>
                <w:ilvl w:val="2"/>
                <w:numId w:val="9"/>
              </w:numPr>
              <w:spacing w:before="240" w:after="240" w:line="276" w:lineRule="auto"/>
              <w:ind w:left="709" w:hanging="709"/>
              <w:rPr>
                <w:rFonts w:cs="Arial"/>
                <w:sz w:val="22"/>
              </w:rPr>
            </w:pPr>
            <w:r w:rsidRPr="00E466E8">
              <w:rPr>
                <w:sz w:val="22"/>
              </w:rPr>
              <w:t xml:space="preserve">Without </w:t>
            </w:r>
            <w:r w:rsidRPr="005F70B6">
              <w:rPr>
                <w:rFonts w:cs="Arial"/>
                <w:sz w:val="22"/>
              </w:rPr>
              <w:t>specific</w:t>
            </w:r>
            <w:r w:rsidRPr="00E466E8">
              <w:rPr>
                <w:sz w:val="22"/>
              </w:rPr>
              <w:t xml:space="preserve"> interest allocation rules, investors </w:t>
            </w:r>
            <w:r w:rsidR="00E54E93">
              <w:rPr>
                <w:sz w:val="22"/>
              </w:rPr>
              <w:t xml:space="preserve">(particularly larger and more sophisticated investors) </w:t>
            </w:r>
            <w:r w:rsidRPr="00E466E8">
              <w:rPr>
                <w:sz w:val="22"/>
              </w:rPr>
              <w:t>may be able to structure around the loss ring-fencing rules.  For example, by reorganising funding so that business assets other than rental properties are debt-funded, and rental properties are equity-funded</w:t>
            </w:r>
            <w:r w:rsidR="00825968">
              <w:rPr>
                <w:sz w:val="22"/>
              </w:rPr>
              <w:t>,</w:t>
            </w:r>
            <w:r w:rsidRPr="00E466E8">
              <w:rPr>
                <w:sz w:val="22"/>
              </w:rPr>
              <w:t xml:space="preserve"> to the greatest extent possible.</w:t>
            </w:r>
            <w:r w:rsidR="00E54E93">
              <w:rPr>
                <w:sz w:val="22"/>
              </w:rPr>
              <w:t xml:space="preserve">  This could undermine the credibility of the rules, neutrality, and fairness.</w:t>
            </w:r>
          </w:p>
          <w:p w14:paraId="0262D41E" w14:textId="7230C7D1" w:rsidR="00A70775" w:rsidRPr="00E466E8" w:rsidRDefault="00A70775" w:rsidP="00DA18DA">
            <w:pPr>
              <w:pStyle w:val="TableText"/>
              <w:numPr>
                <w:ilvl w:val="2"/>
                <w:numId w:val="9"/>
              </w:numPr>
              <w:spacing w:before="240" w:after="240" w:line="276" w:lineRule="auto"/>
              <w:ind w:left="709" w:hanging="709"/>
              <w:rPr>
                <w:rFonts w:cs="Arial"/>
                <w:sz w:val="22"/>
              </w:rPr>
            </w:pPr>
            <w:r w:rsidRPr="005F70B6">
              <w:rPr>
                <w:rFonts w:cs="Arial"/>
                <w:sz w:val="22"/>
              </w:rPr>
              <w:t>However</w:t>
            </w:r>
            <w:r w:rsidRPr="00E466E8">
              <w:rPr>
                <w:sz w:val="22"/>
              </w:rPr>
              <w:t>, interest allocation rules would add substantial complexity</w:t>
            </w:r>
            <w:r w:rsidR="00E54E93">
              <w:rPr>
                <w:sz w:val="22"/>
              </w:rPr>
              <w:t>,</w:t>
            </w:r>
            <w:r w:rsidRPr="00E466E8">
              <w:rPr>
                <w:sz w:val="22"/>
              </w:rPr>
              <w:t xml:space="preserve"> and</w:t>
            </w:r>
            <w:r w:rsidR="00E54E93">
              <w:rPr>
                <w:sz w:val="22"/>
              </w:rPr>
              <w:t xml:space="preserve"> increase</w:t>
            </w:r>
            <w:r w:rsidRPr="00E466E8">
              <w:rPr>
                <w:sz w:val="22"/>
              </w:rPr>
              <w:t xml:space="preserve"> compliance </w:t>
            </w:r>
            <w:r w:rsidR="00E54E93">
              <w:rPr>
                <w:sz w:val="22"/>
              </w:rPr>
              <w:t xml:space="preserve">and administrative </w:t>
            </w:r>
            <w:r w:rsidRPr="00E466E8">
              <w:rPr>
                <w:sz w:val="22"/>
              </w:rPr>
              <w:t>costs.  Because money is fungible, it is very difficult to attempt to match borrowings to particular investments (tracing).  Stacking rules (eg, allocating debt firstly to ring-fenced investments) may be seen as unfair.  And pro rata interest allocation between assets that are subject to the ring-fencing rules and those that are not would require regular valuation of assets.</w:t>
            </w:r>
          </w:p>
          <w:p w14:paraId="2CDA10BB" w14:textId="63B9C727" w:rsidR="00A70775" w:rsidRPr="00E466E8" w:rsidRDefault="00A70775" w:rsidP="00DA18DA">
            <w:pPr>
              <w:pStyle w:val="TableText"/>
              <w:numPr>
                <w:ilvl w:val="2"/>
                <w:numId w:val="9"/>
              </w:numPr>
              <w:spacing w:before="240" w:after="240" w:line="276" w:lineRule="auto"/>
              <w:ind w:left="709" w:hanging="709"/>
              <w:rPr>
                <w:sz w:val="22"/>
              </w:rPr>
            </w:pPr>
            <w:r w:rsidRPr="00E466E8">
              <w:rPr>
                <w:sz w:val="22"/>
              </w:rPr>
              <w:t xml:space="preserve">If </w:t>
            </w:r>
            <w:r w:rsidRPr="005F70B6">
              <w:rPr>
                <w:rFonts w:cs="Arial"/>
                <w:sz w:val="22"/>
              </w:rPr>
              <w:t>interest</w:t>
            </w:r>
            <w:r w:rsidRPr="00E466E8">
              <w:rPr>
                <w:sz w:val="22"/>
              </w:rPr>
              <w:t xml:space="preserve"> on any loan that was secured by a residential property was included in the rules, this would create issues for many taxpayers who use their rental properties to secure loans for their businesses.  This would impact on small and medium business’ access to capital.  In addition, many arrangements could be </w:t>
            </w:r>
            <w:r w:rsidRPr="00E466E8">
              <w:rPr>
                <w:sz w:val="22"/>
              </w:rPr>
              <w:lastRenderedPageBreak/>
              <w:t>even more difficult to apply interest allocation rules to, as revolving credit facilities are often used to fund both a rental property and a business.</w:t>
            </w:r>
          </w:p>
          <w:p w14:paraId="62EBA77D" w14:textId="4D158E5B" w:rsidR="00A70775" w:rsidRPr="00E466E8" w:rsidRDefault="00A70775" w:rsidP="00DA18DA">
            <w:pPr>
              <w:pStyle w:val="TableText"/>
              <w:numPr>
                <w:ilvl w:val="2"/>
                <w:numId w:val="9"/>
              </w:numPr>
              <w:spacing w:before="240" w:after="240" w:line="276" w:lineRule="auto"/>
              <w:ind w:left="709" w:hanging="709"/>
              <w:rPr>
                <w:sz w:val="22"/>
              </w:rPr>
            </w:pPr>
            <w:r w:rsidRPr="00E466E8">
              <w:rPr>
                <w:sz w:val="22"/>
              </w:rPr>
              <w:t xml:space="preserve">The </w:t>
            </w:r>
            <w:r w:rsidRPr="005F70B6">
              <w:rPr>
                <w:rFonts w:cs="Arial"/>
                <w:sz w:val="22"/>
              </w:rPr>
              <w:t>private</w:t>
            </w:r>
            <w:r w:rsidRPr="00E466E8">
              <w:rPr>
                <w:sz w:val="22"/>
              </w:rPr>
              <w:t xml:space="preserve"> sector advisors </w:t>
            </w:r>
            <w:r w:rsidR="00825968">
              <w:rPr>
                <w:sz w:val="22"/>
              </w:rPr>
              <w:t xml:space="preserve">who </w:t>
            </w:r>
            <w:r w:rsidRPr="00E466E8">
              <w:rPr>
                <w:sz w:val="22"/>
              </w:rPr>
              <w:t xml:space="preserve">officials </w:t>
            </w:r>
            <w:r w:rsidR="00B4748C">
              <w:rPr>
                <w:sz w:val="22"/>
              </w:rPr>
              <w:t>consulted</w:t>
            </w:r>
            <w:r w:rsidRPr="00E466E8">
              <w:rPr>
                <w:sz w:val="22"/>
              </w:rPr>
              <w:t xml:space="preserve"> were strongly of the view that the substantial complexity that interest allocation rules would add should be avoided.  It was observed that such complex rules would be particularly onerous for smaller taxpayers to comply with.</w:t>
            </w:r>
          </w:p>
          <w:p w14:paraId="20DCDAA5" w14:textId="2D8BF1BE" w:rsidR="00A70775" w:rsidRPr="00E466E8" w:rsidRDefault="00A70775" w:rsidP="00DA18DA">
            <w:pPr>
              <w:pStyle w:val="TableText"/>
              <w:numPr>
                <w:ilvl w:val="2"/>
                <w:numId w:val="9"/>
              </w:numPr>
              <w:spacing w:before="240" w:after="240" w:line="276" w:lineRule="auto"/>
              <w:ind w:left="709" w:hanging="709"/>
              <w:rPr>
                <w:rFonts w:cs="Arial"/>
                <w:sz w:val="22"/>
              </w:rPr>
            </w:pPr>
            <w:r w:rsidRPr="00E466E8">
              <w:rPr>
                <w:sz w:val="22"/>
              </w:rPr>
              <w:t xml:space="preserve">Given </w:t>
            </w:r>
            <w:r w:rsidRPr="005F70B6">
              <w:rPr>
                <w:rFonts w:cs="Arial"/>
                <w:sz w:val="22"/>
              </w:rPr>
              <w:t>the</w:t>
            </w:r>
            <w:r w:rsidRPr="00E466E8">
              <w:rPr>
                <w:sz w:val="22"/>
              </w:rPr>
              <w:t xml:space="preserve"> substantial complexity that interest allocation rules would introduce, we recommend against such rules.  The ring-fencing rules will affect many taxpayers, with varying levels of sophistication and tax knowledge, and we consider it important that they remain as easy to apply as possible, and minimise compliance costs for taxpayers.</w:t>
            </w:r>
          </w:p>
          <w:p w14:paraId="62CC7B23" w14:textId="070F576B" w:rsidR="00387B4B" w:rsidRPr="000B5EA9" w:rsidRDefault="00387B4B" w:rsidP="00E74CC1">
            <w:pPr>
              <w:pStyle w:val="TableText"/>
              <w:spacing w:before="240" w:after="240" w:line="276" w:lineRule="auto"/>
              <w:rPr>
                <w:rFonts w:cs="Arial"/>
                <w:i/>
                <w:sz w:val="22"/>
                <w:szCs w:val="20"/>
              </w:rPr>
            </w:pPr>
            <w:r w:rsidRPr="000B5EA9">
              <w:rPr>
                <w:rFonts w:cs="Arial"/>
                <w:i/>
                <w:sz w:val="22"/>
                <w:szCs w:val="20"/>
              </w:rPr>
              <w:t>Specific rules for interposed entities</w:t>
            </w:r>
          </w:p>
          <w:p w14:paraId="3817FEAA" w14:textId="7BB2DBEC" w:rsidR="00387B4B" w:rsidRPr="00712EC7" w:rsidRDefault="00E6099C" w:rsidP="00DA18DA">
            <w:pPr>
              <w:pStyle w:val="TableText"/>
              <w:numPr>
                <w:ilvl w:val="2"/>
                <w:numId w:val="9"/>
              </w:numPr>
              <w:spacing w:before="240" w:after="240" w:line="276" w:lineRule="auto"/>
              <w:ind w:left="709" w:hanging="709"/>
              <w:rPr>
                <w:sz w:val="22"/>
              </w:rPr>
            </w:pPr>
            <w:r w:rsidRPr="00712EC7">
              <w:rPr>
                <w:rFonts w:cs="Arial"/>
                <w:sz w:val="22"/>
              </w:rPr>
              <w:t>We have considered whether there should be specific rules</w:t>
            </w:r>
            <w:r w:rsidRPr="00712EC7">
              <w:rPr>
                <w:sz w:val="22"/>
              </w:rPr>
              <w:t xml:space="preserve"> to mitigate the risk of taxpayers interposing entities to get around the loss ring-fencing rules.</w:t>
            </w:r>
          </w:p>
          <w:p w14:paraId="2F397D99" w14:textId="46DF63F5" w:rsidR="00E6099C" w:rsidRPr="00712EC7" w:rsidRDefault="00E6099C" w:rsidP="00DA18DA">
            <w:pPr>
              <w:pStyle w:val="TableText"/>
              <w:numPr>
                <w:ilvl w:val="2"/>
                <w:numId w:val="9"/>
              </w:numPr>
              <w:spacing w:before="240" w:after="240" w:line="276" w:lineRule="auto"/>
              <w:ind w:left="709" w:hanging="709"/>
              <w:rPr>
                <w:sz w:val="22"/>
              </w:rPr>
            </w:pPr>
            <w:r w:rsidRPr="005F70B6">
              <w:rPr>
                <w:rFonts w:cs="Arial"/>
                <w:sz w:val="22"/>
              </w:rPr>
              <w:t>Without</w:t>
            </w:r>
            <w:r w:rsidRPr="00712EC7">
              <w:rPr>
                <w:sz w:val="22"/>
              </w:rPr>
              <w:t xml:space="preserve"> </w:t>
            </w:r>
            <w:r w:rsidRPr="00DA18DA">
              <w:rPr>
                <w:rFonts w:cs="Arial"/>
                <w:sz w:val="22"/>
              </w:rPr>
              <w:t>rules</w:t>
            </w:r>
            <w:r w:rsidRPr="00712EC7">
              <w:rPr>
                <w:sz w:val="22"/>
              </w:rPr>
              <w:t xml:space="preserve"> to deal with interposed entities, a simple way taxpayers </w:t>
            </w:r>
            <w:r w:rsidR="00E54E93">
              <w:rPr>
                <w:sz w:val="22"/>
              </w:rPr>
              <w:t xml:space="preserve">(particularly larger and more sophisticated taxpayers) </w:t>
            </w:r>
            <w:r w:rsidRPr="00712EC7">
              <w:rPr>
                <w:sz w:val="22"/>
              </w:rPr>
              <w:t>could get around ring-fencing rules would be by interposing an entity (eg, a company) to separate a loan (and interest deduction) from the residential rental property, so the interest is not subject to ring-fencing.</w:t>
            </w:r>
            <w:r w:rsidR="00E54E93">
              <w:rPr>
                <w:sz w:val="22"/>
              </w:rPr>
              <w:t xml:space="preserve">  This could undermine the credibility of the rules, neutrality, and fairness.</w:t>
            </w:r>
          </w:p>
          <w:p w14:paraId="2AAC5AE2" w14:textId="1C4C1E7C" w:rsidR="00E6099C" w:rsidRPr="00712EC7" w:rsidRDefault="00E6099C" w:rsidP="00DA18DA">
            <w:pPr>
              <w:pStyle w:val="TableText"/>
              <w:numPr>
                <w:ilvl w:val="2"/>
                <w:numId w:val="9"/>
              </w:numPr>
              <w:spacing w:before="240" w:after="240" w:line="276" w:lineRule="auto"/>
              <w:ind w:left="709" w:hanging="709"/>
              <w:rPr>
                <w:sz w:val="22"/>
                <w:lang w:eastAsia="en-NZ"/>
              </w:rPr>
            </w:pPr>
            <w:r w:rsidRPr="00712EC7">
              <w:rPr>
                <w:sz w:val="22"/>
              </w:rPr>
              <w:t xml:space="preserve">In </w:t>
            </w:r>
            <w:r w:rsidRPr="005F70B6">
              <w:rPr>
                <w:rFonts w:cs="Arial"/>
                <w:sz w:val="22"/>
              </w:rPr>
              <w:t>the</w:t>
            </w:r>
            <w:r w:rsidRPr="00712EC7">
              <w:rPr>
                <w:sz w:val="22"/>
              </w:rPr>
              <w:t xml:space="preserve"> </w:t>
            </w:r>
            <w:r w:rsidRPr="00DA18DA">
              <w:rPr>
                <w:rFonts w:cs="Arial"/>
                <w:sz w:val="22"/>
              </w:rPr>
              <w:t>1980s</w:t>
            </w:r>
            <w:r w:rsidRPr="00712EC7">
              <w:rPr>
                <w:sz w:val="22"/>
              </w:rPr>
              <w:t xml:space="preserve">, New Zealand had a loss restriction provision that </w:t>
            </w:r>
            <w:r w:rsidRPr="00712EC7">
              <w:rPr>
                <w:sz w:val="22"/>
                <w:lang w:eastAsia="en-NZ"/>
              </w:rPr>
              <w:t xml:space="preserve">capped the extent to which losses from rental, agricultural and horticultural activities could be offset against other income (the maximum was $10,000 per annum).  There was also a provision that clawed back interest and development expenditure where land was sold within ten years of acquisition and the profit derived on sale was not otherwise assessable.  </w:t>
            </w:r>
            <w:r w:rsidRPr="00712EC7">
              <w:rPr>
                <w:sz w:val="22"/>
              </w:rPr>
              <w:t xml:space="preserve">A </w:t>
            </w:r>
            <w:r w:rsidRPr="00712EC7">
              <w:rPr>
                <w:color w:val="000000"/>
                <w:sz w:val="22"/>
              </w:rPr>
              <w:t>major</w:t>
            </w:r>
            <w:r w:rsidRPr="00712EC7">
              <w:rPr>
                <w:sz w:val="22"/>
              </w:rPr>
              <w:t xml:space="preserve"> failing of the interest claw back provision was the absence of specific rules to deal with simple structuring</w:t>
            </w:r>
            <w:r w:rsidRPr="00712EC7">
              <w:rPr>
                <w:sz w:val="22"/>
                <w:lang w:eastAsia="en-NZ"/>
              </w:rPr>
              <w:t xml:space="preserve"> such as that noted above.  As a result, a common strategy was to hold the land in a company and incur interest on funds borrowed to buy shares in the company.  This meant that no interest was incurred with respect to the land, so there could be no clawback of interest deductions on sale.</w:t>
            </w:r>
            <w:r w:rsidRPr="00712EC7">
              <w:rPr>
                <w:rStyle w:val="FootnoteReference"/>
                <w:szCs w:val="16"/>
                <w:lang w:eastAsia="en-NZ"/>
              </w:rPr>
              <w:footnoteReference w:id="8"/>
            </w:r>
          </w:p>
          <w:p w14:paraId="53EFCAA1" w14:textId="079869B9" w:rsidR="00E6099C" w:rsidRPr="00712EC7" w:rsidRDefault="00E6099C" w:rsidP="00DA18DA">
            <w:pPr>
              <w:pStyle w:val="TableText"/>
              <w:numPr>
                <w:ilvl w:val="2"/>
                <w:numId w:val="9"/>
              </w:numPr>
              <w:spacing w:before="240" w:after="240" w:line="276" w:lineRule="auto"/>
              <w:ind w:left="709" w:hanging="709"/>
              <w:rPr>
                <w:spacing w:val="-2"/>
                <w:sz w:val="22"/>
              </w:rPr>
            </w:pPr>
            <w:r w:rsidRPr="00712EC7">
              <w:rPr>
                <w:color w:val="000000"/>
                <w:sz w:val="22"/>
              </w:rPr>
              <w:t>While</w:t>
            </w:r>
            <w:r w:rsidRPr="00712EC7">
              <w:rPr>
                <w:sz w:val="22"/>
              </w:rPr>
              <w:t xml:space="preserve"> </w:t>
            </w:r>
            <w:r w:rsidRPr="005F70B6">
              <w:rPr>
                <w:rFonts w:cs="Arial"/>
                <w:sz w:val="22"/>
              </w:rPr>
              <w:t>there</w:t>
            </w:r>
            <w:r w:rsidRPr="00712EC7">
              <w:rPr>
                <w:sz w:val="22"/>
              </w:rPr>
              <w:t xml:space="preserve"> is a general anti-avoidance rule in the Income Tax Act, it may not be adequate to prevent the simple interposing of an entity to get around loss ring-fencing, as there are legitimate non-tax reasons for holding property in an entity.  In addition, i</w:t>
            </w:r>
            <w:r w:rsidRPr="00712EC7">
              <w:rPr>
                <w:spacing w:val="-2"/>
                <w:sz w:val="22"/>
              </w:rPr>
              <w:t xml:space="preserve">t is preferable from a certainty perspective to have </w:t>
            </w:r>
            <w:r w:rsidR="004D2AED">
              <w:rPr>
                <w:spacing w:val="-2"/>
                <w:sz w:val="22"/>
              </w:rPr>
              <w:t>specific</w:t>
            </w:r>
            <w:r w:rsidRPr="00712EC7">
              <w:rPr>
                <w:spacing w:val="-2"/>
                <w:sz w:val="22"/>
              </w:rPr>
              <w:t xml:space="preserve"> rules to counter avoidance concerns rather than </w:t>
            </w:r>
            <w:r w:rsidR="004D2AED">
              <w:rPr>
                <w:spacing w:val="-2"/>
                <w:sz w:val="22"/>
              </w:rPr>
              <w:t>rely on the uncertain boundary inherent in the general anti-avoidance rule</w:t>
            </w:r>
            <w:r w:rsidRPr="00712EC7">
              <w:rPr>
                <w:spacing w:val="-2"/>
                <w:sz w:val="22"/>
              </w:rPr>
              <w:t xml:space="preserve">.  </w:t>
            </w:r>
            <w:r w:rsidR="00E54E93">
              <w:rPr>
                <w:sz w:val="22"/>
              </w:rPr>
              <w:t xml:space="preserve">There would be some administrative costs associated with a specific rule to deal with interposed entities, as compliance would need to be monitored.  </w:t>
            </w:r>
            <w:r w:rsidR="00E54E93">
              <w:rPr>
                <w:spacing w:val="-2"/>
                <w:sz w:val="22"/>
              </w:rPr>
              <w:t>However, compared to relying on the general anti-avoidance rule,</w:t>
            </w:r>
            <w:r w:rsidR="00E54E93" w:rsidRPr="00712EC7">
              <w:rPr>
                <w:spacing w:val="-2"/>
                <w:sz w:val="22"/>
              </w:rPr>
              <w:t xml:space="preserve"> </w:t>
            </w:r>
            <w:r w:rsidR="00E54E93">
              <w:rPr>
                <w:spacing w:val="-2"/>
                <w:sz w:val="22"/>
              </w:rPr>
              <w:t>t</w:t>
            </w:r>
            <w:r w:rsidRPr="00712EC7">
              <w:rPr>
                <w:spacing w:val="-2"/>
                <w:sz w:val="22"/>
              </w:rPr>
              <w:t>his approach should reduce taxpayer compliance costs, uncertainty, and administrative costs.</w:t>
            </w:r>
          </w:p>
          <w:p w14:paraId="0526DF7D" w14:textId="7D5589F2" w:rsidR="00E6099C" w:rsidRPr="00712EC7" w:rsidRDefault="00E6099C" w:rsidP="00DA18DA">
            <w:pPr>
              <w:pStyle w:val="TableText"/>
              <w:numPr>
                <w:ilvl w:val="2"/>
                <w:numId w:val="9"/>
              </w:numPr>
              <w:spacing w:before="240" w:after="240" w:line="276" w:lineRule="auto"/>
              <w:ind w:left="709" w:hanging="709"/>
              <w:rPr>
                <w:sz w:val="22"/>
              </w:rPr>
            </w:pPr>
            <w:r w:rsidRPr="00712EC7">
              <w:rPr>
                <w:sz w:val="22"/>
              </w:rPr>
              <w:lastRenderedPageBreak/>
              <w:t xml:space="preserve">We </w:t>
            </w:r>
            <w:r w:rsidR="00726578" w:rsidRPr="005F70B6">
              <w:rPr>
                <w:rFonts w:cs="Arial"/>
                <w:sz w:val="22"/>
              </w:rPr>
              <w:t>therefore</w:t>
            </w:r>
            <w:r w:rsidR="00726578" w:rsidRPr="00712EC7">
              <w:rPr>
                <w:sz w:val="22"/>
              </w:rPr>
              <w:t xml:space="preserve"> </w:t>
            </w:r>
            <w:r w:rsidRPr="00712EC7">
              <w:rPr>
                <w:sz w:val="22"/>
              </w:rPr>
              <w:t>recommend a specific rule to deal with the interposing of entities, as this would otherwise be a simple mechanism to get around the loss ring-fencing rules, and would undermine their credibility.</w:t>
            </w:r>
          </w:p>
          <w:p w14:paraId="7A5FA519" w14:textId="5BC00052" w:rsidR="00726578" w:rsidRPr="00712EC7" w:rsidRDefault="00726578" w:rsidP="00DA18DA">
            <w:pPr>
              <w:pStyle w:val="TableText"/>
              <w:numPr>
                <w:ilvl w:val="2"/>
                <w:numId w:val="9"/>
              </w:numPr>
              <w:spacing w:before="240" w:after="240" w:line="276" w:lineRule="auto"/>
              <w:ind w:left="709" w:hanging="709"/>
              <w:rPr>
                <w:spacing w:val="-2"/>
                <w:sz w:val="22"/>
              </w:rPr>
            </w:pPr>
            <w:r w:rsidRPr="00712EC7">
              <w:rPr>
                <w:color w:val="000000"/>
                <w:sz w:val="22"/>
              </w:rPr>
              <w:t xml:space="preserve">The </w:t>
            </w:r>
            <w:r w:rsidRPr="005F70B6">
              <w:rPr>
                <w:rFonts w:cs="Arial"/>
                <w:sz w:val="22"/>
              </w:rPr>
              <w:t>private</w:t>
            </w:r>
            <w:r w:rsidRPr="00712EC7">
              <w:rPr>
                <w:color w:val="000000"/>
                <w:sz w:val="22"/>
              </w:rPr>
              <w:t xml:space="preserve"> sector advisors </w:t>
            </w:r>
            <w:r w:rsidR="00825968">
              <w:rPr>
                <w:color w:val="000000"/>
                <w:sz w:val="22"/>
              </w:rPr>
              <w:t xml:space="preserve">who </w:t>
            </w:r>
            <w:r w:rsidRPr="00712EC7">
              <w:rPr>
                <w:color w:val="000000"/>
                <w:sz w:val="22"/>
              </w:rPr>
              <w:t xml:space="preserve">officials </w:t>
            </w:r>
            <w:r w:rsidR="000002FA">
              <w:rPr>
                <w:color w:val="000000"/>
                <w:sz w:val="22"/>
              </w:rPr>
              <w:t>consulted</w:t>
            </w:r>
            <w:r w:rsidRPr="00712EC7">
              <w:rPr>
                <w:color w:val="000000"/>
                <w:sz w:val="22"/>
              </w:rPr>
              <w:t xml:space="preserve"> were in agreement that rules to deal with the above mechanism of interposing an entity should be developed, to maintain the integrity of the ring-fencing rules.</w:t>
            </w:r>
          </w:p>
          <w:p w14:paraId="3D448078" w14:textId="6FD93755" w:rsidR="002F0C8E" w:rsidRPr="00A0616B" w:rsidRDefault="00726578" w:rsidP="002F0C8E">
            <w:pPr>
              <w:pStyle w:val="TableText"/>
              <w:numPr>
                <w:ilvl w:val="2"/>
                <w:numId w:val="9"/>
              </w:numPr>
              <w:spacing w:before="240" w:after="240" w:line="276" w:lineRule="auto"/>
              <w:ind w:left="709" w:hanging="709"/>
            </w:pPr>
            <w:r w:rsidRPr="00A0616B">
              <w:rPr>
                <w:sz w:val="22"/>
              </w:rPr>
              <w:t xml:space="preserve">The officials’ </w:t>
            </w:r>
            <w:r w:rsidR="00950506" w:rsidRPr="00A0616B">
              <w:rPr>
                <w:sz w:val="22"/>
              </w:rPr>
              <w:t>issues p</w:t>
            </w:r>
            <w:r w:rsidRPr="00A0616B">
              <w:rPr>
                <w:sz w:val="22"/>
              </w:rPr>
              <w:t>aper consult</w:t>
            </w:r>
            <w:r w:rsidR="002F0C8E" w:rsidRPr="00A0616B">
              <w:rPr>
                <w:sz w:val="22"/>
              </w:rPr>
              <w:t>ed</w:t>
            </w:r>
            <w:r w:rsidRPr="00A0616B">
              <w:rPr>
                <w:sz w:val="22"/>
              </w:rPr>
              <w:t xml:space="preserve"> on a </w:t>
            </w:r>
            <w:r w:rsidR="00E6099C" w:rsidRPr="00A0616B">
              <w:rPr>
                <w:color w:val="000000"/>
                <w:sz w:val="22"/>
              </w:rPr>
              <w:t>suggested</w:t>
            </w:r>
            <w:r w:rsidR="00E6099C" w:rsidRPr="00A0616B">
              <w:rPr>
                <w:sz w:val="22"/>
              </w:rPr>
              <w:t xml:space="preserve"> approach to dealing with interposed entities</w:t>
            </w:r>
            <w:r w:rsidRPr="00A0616B">
              <w:rPr>
                <w:sz w:val="22"/>
              </w:rPr>
              <w:t>.</w:t>
            </w:r>
            <w:r w:rsidR="002F0C8E" w:rsidRPr="00A0616B">
              <w:rPr>
                <w:sz w:val="22"/>
              </w:rPr>
              <w:t xml:space="preserve">  Submitters have proposed a number of technical refinements to the treatment of interposed entities</w:t>
            </w:r>
            <w:r w:rsidR="00AF742F" w:rsidRPr="00A0616B">
              <w:rPr>
                <w:sz w:val="22"/>
              </w:rPr>
              <w:t xml:space="preserve"> proposed in Option </w:t>
            </w:r>
            <w:r w:rsidR="000002FA">
              <w:rPr>
                <w:sz w:val="22"/>
              </w:rPr>
              <w:t>2</w:t>
            </w:r>
            <w:r w:rsidR="002F0C8E" w:rsidRPr="00A0616B">
              <w:rPr>
                <w:sz w:val="22"/>
              </w:rPr>
              <w:t>, which we agree with.  These are:</w:t>
            </w:r>
          </w:p>
          <w:p w14:paraId="1450EF4B" w14:textId="2D830C29" w:rsidR="002F0C8E" w:rsidRPr="00A0616B" w:rsidRDefault="002F0C8E" w:rsidP="002F0C8E">
            <w:pPr>
              <w:pStyle w:val="TableText"/>
              <w:numPr>
                <w:ilvl w:val="0"/>
                <w:numId w:val="27"/>
              </w:numPr>
              <w:spacing w:before="240" w:after="240" w:line="276" w:lineRule="auto"/>
              <w:rPr>
                <w:sz w:val="22"/>
              </w:rPr>
            </w:pPr>
            <w:r w:rsidRPr="00A0616B">
              <w:rPr>
                <w:sz w:val="22"/>
              </w:rPr>
              <w:t xml:space="preserve">The 50% “residential property land-rich” threshold should take into account all residential properties, not just those within the scope of the ring-fencing rules.  This is to ensure that the interposed entity rule applies even if the main home was held in the same entity as a rental property (which would </w:t>
            </w:r>
            <w:r w:rsidR="00B4748C" w:rsidRPr="00A0616B">
              <w:rPr>
                <w:sz w:val="22"/>
              </w:rPr>
              <w:t>often</w:t>
            </w:r>
            <w:r w:rsidRPr="00A0616B">
              <w:rPr>
                <w:sz w:val="22"/>
              </w:rPr>
              <w:t xml:space="preserve"> be worth less</w:t>
            </w:r>
            <w:r w:rsidR="003F19ED" w:rsidRPr="00A0616B">
              <w:rPr>
                <w:sz w:val="22"/>
              </w:rPr>
              <w:t xml:space="preserve"> than the main home</w:t>
            </w:r>
            <w:r w:rsidRPr="00A0616B">
              <w:rPr>
                <w:sz w:val="22"/>
              </w:rPr>
              <w:t>).  We recommend that the rule therefore apply where over 50% of the entity’s assets are residential properties, not just residential properties within the scope of the ring-fencing rules.</w:t>
            </w:r>
          </w:p>
          <w:p w14:paraId="4FA587F8" w14:textId="77777777" w:rsidR="002F0C8E" w:rsidRPr="00A0616B" w:rsidRDefault="002F0C8E" w:rsidP="002F0C8E">
            <w:pPr>
              <w:pStyle w:val="TableText"/>
              <w:numPr>
                <w:ilvl w:val="0"/>
                <w:numId w:val="27"/>
              </w:numPr>
              <w:spacing w:before="240" w:after="240" w:line="276" w:lineRule="auto"/>
              <w:rPr>
                <w:sz w:val="22"/>
              </w:rPr>
            </w:pPr>
            <w:r w:rsidRPr="00A0616B">
              <w:rPr>
                <w:sz w:val="22"/>
              </w:rPr>
              <w:t xml:space="preserve">Interest deductions for the owner of a “residential property land-rich” entity should not be ring-fenced to the extent the profit from the residential property or properties is sufficient to cover the interest, but is not distributed.  This is appropriate as the properties are profitable overall, so there is no mischief in allowing the interest covered by the profits to be deducted in that year. </w:t>
            </w:r>
          </w:p>
          <w:p w14:paraId="6F9F5F95" w14:textId="77777777" w:rsidR="002F0C8E" w:rsidRPr="00A0616B" w:rsidRDefault="002F0C8E" w:rsidP="002F0C8E">
            <w:pPr>
              <w:pStyle w:val="TableText"/>
              <w:numPr>
                <w:ilvl w:val="0"/>
                <w:numId w:val="27"/>
              </w:numPr>
              <w:spacing w:before="240" w:after="240" w:line="276" w:lineRule="auto"/>
              <w:rPr>
                <w:sz w:val="22"/>
              </w:rPr>
            </w:pPr>
            <w:r w:rsidRPr="00A0616B">
              <w:rPr>
                <w:sz w:val="22"/>
              </w:rPr>
              <w:t xml:space="preserve">Where part of an entity’s capital is used to acquire a rental property, and part is applied to something else, the interest incurred by the shareholder to fund the entity’s capital should be allocated on a pro-rata basis between the uses to which the capital is applied.  </w:t>
            </w:r>
          </w:p>
          <w:p w14:paraId="5C4CB175" w14:textId="740D108A" w:rsidR="00B01ECB" w:rsidRPr="006C184B" w:rsidRDefault="002F0C8E" w:rsidP="00053E2D">
            <w:pPr>
              <w:pStyle w:val="TableText"/>
              <w:numPr>
                <w:ilvl w:val="0"/>
                <w:numId w:val="27"/>
              </w:numPr>
              <w:spacing w:before="240" w:after="240" w:line="276" w:lineRule="auto"/>
              <w:rPr>
                <w:b/>
              </w:rPr>
            </w:pPr>
            <w:r w:rsidRPr="00A0616B">
              <w:rPr>
                <w:sz w:val="22"/>
              </w:rPr>
              <w:t xml:space="preserve">Where the entity’s capital </w:t>
            </w:r>
            <w:r w:rsidR="003F19ED" w:rsidRPr="00A0616B">
              <w:rPr>
                <w:sz w:val="22"/>
              </w:rPr>
              <w:t>is used to acquire</w:t>
            </w:r>
            <w:r w:rsidRPr="00A0616B">
              <w:rPr>
                <w:sz w:val="22"/>
              </w:rPr>
              <w:t xml:space="preserve"> a rental property</w:t>
            </w:r>
            <w:r w:rsidR="003F19ED" w:rsidRPr="00A0616B">
              <w:rPr>
                <w:sz w:val="22"/>
              </w:rPr>
              <w:t>,</w:t>
            </w:r>
            <w:r w:rsidRPr="00A0616B">
              <w:rPr>
                <w:sz w:val="22"/>
              </w:rPr>
              <w:t xml:space="preserve"> and </w:t>
            </w:r>
            <w:r w:rsidR="003F19ED" w:rsidRPr="00A0616B">
              <w:rPr>
                <w:sz w:val="22"/>
              </w:rPr>
              <w:t xml:space="preserve">the entity </w:t>
            </w:r>
            <w:r w:rsidRPr="00A0616B">
              <w:rPr>
                <w:sz w:val="22"/>
              </w:rPr>
              <w:t xml:space="preserve">also has another profitable activity that does not require any (or much) capital, the </w:t>
            </w:r>
            <w:r w:rsidR="003F19ED" w:rsidRPr="00A0616B">
              <w:rPr>
                <w:sz w:val="22"/>
              </w:rPr>
              <w:t xml:space="preserve">shareholder’s </w:t>
            </w:r>
            <w:r w:rsidRPr="00A0616B">
              <w:rPr>
                <w:sz w:val="22"/>
              </w:rPr>
              <w:t xml:space="preserve">interest </w:t>
            </w:r>
            <w:r w:rsidR="00053E2D" w:rsidRPr="00A0616B">
              <w:rPr>
                <w:sz w:val="22"/>
              </w:rPr>
              <w:t xml:space="preserve">expenses </w:t>
            </w:r>
            <w:r w:rsidR="003F19ED" w:rsidRPr="00A0616B">
              <w:rPr>
                <w:sz w:val="22"/>
              </w:rPr>
              <w:t>should</w:t>
            </w:r>
            <w:r w:rsidRPr="00A0616B">
              <w:rPr>
                <w:sz w:val="22"/>
              </w:rPr>
              <w:t xml:space="preserve"> only be allocated to the extent of the entity’s profit from the rental activity.</w:t>
            </w:r>
            <w:r w:rsidRPr="002F0C8E">
              <w:rPr>
                <w:sz w:val="22"/>
              </w:rPr>
              <w:t xml:space="preserve"> </w:t>
            </w:r>
          </w:p>
        </w:tc>
      </w:tr>
    </w:tbl>
    <w:p w14:paraId="209BB1BA" w14:textId="77777777" w:rsidR="0062657E" w:rsidRPr="0049467D" w:rsidRDefault="0062657E" w:rsidP="0049234F">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86"/>
      </w:tblGrid>
      <w:tr w:rsidR="0049467D" w:rsidRPr="0049467D" w14:paraId="1971FF12" w14:textId="77777777" w:rsidTr="00384E9B">
        <w:trPr>
          <w:trHeight w:val="141"/>
        </w:trPr>
        <w:tc>
          <w:tcPr>
            <w:tcW w:w="5000" w:type="pct"/>
            <w:shd w:val="clear" w:color="auto" w:fill="99CDDD"/>
            <w:hideMark/>
          </w:tcPr>
          <w:p w14:paraId="0FFDDF73" w14:textId="77777777" w:rsidR="0062657E" w:rsidRPr="0049467D" w:rsidRDefault="0062657E" w:rsidP="00DF2E7B">
            <w:pPr>
              <w:spacing w:before="60" w:after="60" w:line="240" w:lineRule="auto"/>
              <w:rPr>
                <w:rFonts w:cs="Arial"/>
                <w:b/>
                <w:szCs w:val="22"/>
                <w:lang w:eastAsia="en-AU"/>
              </w:rPr>
            </w:pPr>
            <w:r w:rsidRPr="0049467D">
              <w:rPr>
                <w:rFonts w:cs="Arial"/>
                <w:b/>
                <w:szCs w:val="22"/>
                <w:lang w:eastAsia="en-AU"/>
              </w:rPr>
              <w:t>5.2   Summary table of costs and benefits of the preferred approach</w:t>
            </w:r>
          </w:p>
        </w:tc>
      </w:tr>
    </w:tbl>
    <w:p w14:paraId="1F3DA82F" w14:textId="77777777" w:rsidR="0049234F" w:rsidRPr="0049467D" w:rsidRDefault="0049234F" w:rsidP="0049234F">
      <w:pPr>
        <w:pStyle w:val="spacer"/>
      </w:pPr>
    </w:p>
    <w:tbl>
      <w:tblPr>
        <w:tblpPr w:leftFromText="180" w:rightFromText="180" w:vertAnchor="text" w:tblpX="6" w:tblpY="1"/>
        <w:tblOverlap w:val="never"/>
        <w:tblW w:w="906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A0" w:firstRow="1" w:lastRow="0" w:firstColumn="1" w:lastColumn="0" w:noHBand="0" w:noVBand="1"/>
      </w:tblPr>
      <w:tblGrid>
        <w:gridCol w:w="1982"/>
        <w:gridCol w:w="3544"/>
        <w:gridCol w:w="2268"/>
        <w:gridCol w:w="1275"/>
      </w:tblGrid>
      <w:tr w:rsidR="0049467D" w:rsidRPr="0049467D" w14:paraId="61FE8ADE" w14:textId="77777777" w:rsidTr="004A11FC">
        <w:trPr>
          <w:trHeight w:val="732"/>
        </w:trPr>
        <w:tc>
          <w:tcPr>
            <w:tcW w:w="1982" w:type="dxa"/>
            <w:tcBorders>
              <w:top w:val="single" w:sz="2" w:space="0" w:color="auto"/>
              <w:left w:val="single" w:sz="2" w:space="0" w:color="auto"/>
              <w:bottom w:val="single" w:sz="2" w:space="0" w:color="auto"/>
              <w:right w:val="single" w:sz="2" w:space="0" w:color="auto"/>
            </w:tcBorders>
            <w:shd w:val="clear" w:color="auto" w:fill="99CDDD"/>
          </w:tcPr>
          <w:p w14:paraId="1B69DB02" w14:textId="022E2127" w:rsidR="0062657E" w:rsidRPr="0049467D" w:rsidRDefault="0062657E" w:rsidP="00825968">
            <w:pPr>
              <w:pStyle w:val="TableText"/>
              <w:autoSpaceDE/>
              <w:autoSpaceDN/>
              <w:adjustRightInd/>
              <w:spacing w:line="240" w:lineRule="auto"/>
              <w:rPr>
                <w:rFonts w:eastAsia="Calibri" w:cs="Arial"/>
                <w:sz w:val="22"/>
              </w:rPr>
            </w:pPr>
            <w:r w:rsidRPr="0049467D">
              <w:rPr>
                <w:rFonts w:eastAsia="Calibri" w:cs="Arial"/>
                <w:b/>
                <w:sz w:val="22"/>
              </w:rPr>
              <w:t>Affected parties</w:t>
            </w:r>
          </w:p>
        </w:tc>
        <w:tc>
          <w:tcPr>
            <w:tcW w:w="3544" w:type="dxa"/>
            <w:tcBorders>
              <w:top w:val="single" w:sz="2" w:space="0" w:color="auto"/>
              <w:left w:val="single" w:sz="2" w:space="0" w:color="auto"/>
              <w:bottom w:val="single" w:sz="2" w:space="0" w:color="auto"/>
              <w:right w:val="single" w:sz="2" w:space="0" w:color="auto"/>
            </w:tcBorders>
            <w:shd w:val="clear" w:color="auto" w:fill="99CDDD"/>
          </w:tcPr>
          <w:p w14:paraId="47039D97" w14:textId="3EBA79E2" w:rsidR="0062657E" w:rsidRPr="0049467D" w:rsidRDefault="0062657E" w:rsidP="00825968">
            <w:pPr>
              <w:pStyle w:val="TableText"/>
              <w:autoSpaceDE/>
              <w:autoSpaceDN/>
              <w:adjustRightInd/>
              <w:spacing w:line="240" w:lineRule="auto"/>
              <w:rPr>
                <w:rFonts w:eastAsia="Calibri" w:cs="Arial"/>
                <w:sz w:val="22"/>
              </w:rPr>
            </w:pPr>
            <w:r w:rsidRPr="0049467D">
              <w:rPr>
                <w:rFonts w:eastAsia="Calibri" w:cs="Arial"/>
                <w:b/>
                <w:sz w:val="22"/>
              </w:rPr>
              <w:t>Comment</w:t>
            </w:r>
            <w:r w:rsidRPr="0049467D">
              <w:rPr>
                <w:rFonts w:eastAsia="Calibri" w:cs="Arial"/>
                <w:i/>
                <w:sz w:val="22"/>
              </w:rPr>
              <w:t>:</w:t>
            </w:r>
          </w:p>
        </w:tc>
        <w:tc>
          <w:tcPr>
            <w:tcW w:w="2268" w:type="dxa"/>
            <w:tcBorders>
              <w:top w:val="single" w:sz="2" w:space="0" w:color="auto"/>
              <w:left w:val="single" w:sz="2" w:space="0" w:color="auto"/>
              <w:bottom w:val="single" w:sz="2" w:space="0" w:color="auto"/>
              <w:right w:val="single" w:sz="2" w:space="0" w:color="auto"/>
            </w:tcBorders>
            <w:shd w:val="clear" w:color="auto" w:fill="99CDDD"/>
          </w:tcPr>
          <w:p w14:paraId="48F4CBB6" w14:textId="1D1741F8" w:rsidR="0062657E" w:rsidRPr="00825968" w:rsidRDefault="00825968" w:rsidP="00DF2E7B">
            <w:pPr>
              <w:pStyle w:val="TableText"/>
              <w:autoSpaceDE/>
              <w:autoSpaceDN/>
              <w:adjustRightInd/>
              <w:spacing w:line="240" w:lineRule="auto"/>
              <w:rPr>
                <w:rFonts w:eastAsia="Calibri" w:cs="Arial"/>
                <w:b/>
                <w:sz w:val="22"/>
              </w:rPr>
            </w:pPr>
            <w:r>
              <w:rPr>
                <w:rFonts w:eastAsia="Calibri" w:cs="Arial"/>
                <w:b/>
                <w:sz w:val="22"/>
              </w:rPr>
              <w:t>Impact</w:t>
            </w:r>
          </w:p>
        </w:tc>
        <w:tc>
          <w:tcPr>
            <w:tcW w:w="1275" w:type="dxa"/>
            <w:tcBorders>
              <w:top w:val="single" w:sz="2" w:space="0" w:color="auto"/>
              <w:left w:val="single" w:sz="2" w:space="0" w:color="auto"/>
              <w:bottom w:val="single" w:sz="2" w:space="0" w:color="auto"/>
              <w:right w:val="single" w:sz="2" w:space="0" w:color="auto"/>
            </w:tcBorders>
            <w:shd w:val="clear" w:color="auto" w:fill="99CDDD"/>
          </w:tcPr>
          <w:p w14:paraId="7237CE9E" w14:textId="67638125" w:rsidR="0062657E" w:rsidRPr="0049467D" w:rsidRDefault="0062657E" w:rsidP="00825968">
            <w:pPr>
              <w:pStyle w:val="TableText"/>
              <w:autoSpaceDE/>
              <w:autoSpaceDN/>
              <w:adjustRightInd/>
              <w:spacing w:line="240" w:lineRule="auto"/>
              <w:rPr>
                <w:rFonts w:eastAsia="Calibri" w:cs="Arial"/>
                <w:sz w:val="22"/>
              </w:rPr>
            </w:pPr>
            <w:r w:rsidRPr="0049467D">
              <w:rPr>
                <w:rFonts w:eastAsia="Calibri" w:cs="Arial"/>
                <w:b/>
                <w:sz w:val="22"/>
              </w:rPr>
              <w:t>Evidence</w:t>
            </w:r>
            <w:r w:rsidRPr="0049467D">
              <w:rPr>
                <w:rFonts w:eastAsia="Calibri" w:cs="Arial"/>
                <w:sz w:val="22"/>
              </w:rPr>
              <w:t xml:space="preserve"> </w:t>
            </w:r>
            <w:r w:rsidRPr="0049467D">
              <w:rPr>
                <w:rFonts w:eastAsia="Calibri" w:cs="Arial"/>
                <w:b/>
                <w:sz w:val="22"/>
              </w:rPr>
              <w:t>certainty</w:t>
            </w:r>
          </w:p>
        </w:tc>
      </w:tr>
      <w:tr w:rsidR="0049467D" w:rsidRPr="0049467D" w14:paraId="2866B22F" w14:textId="77777777" w:rsidTr="00FA7EFC">
        <w:trPr>
          <w:trHeight w:val="253"/>
        </w:trPr>
        <w:tc>
          <w:tcPr>
            <w:tcW w:w="9069" w:type="dxa"/>
            <w:gridSpan w:val="4"/>
            <w:tcBorders>
              <w:top w:val="nil"/>
              <w:left w:val="nil"/>
              <w:bottom w:val="nil"/>
              <w:right w:val="nil"/>
            </w:tcBorders>
          </w:tcPr>
          <w:p w14:paraId="7D225012" w14:textId="77777777" w:rsidR="0062657E" w:rsidRPr="0049467D" w:rsidRDefault="0062657E" w:rsidP="0049234F">
            <w:pPr>
              <w:pStyle w:val="spacer"/>
              <w:keepNext/>
              <w:rPr>
                <w:rFonts w:eastAsia="Calibri"/>
              </w:rPr>
            </w:pPr>
          </w:p>
        </w:tc>
      </w:tr>
      <w:tr w:rsidR="0049467D" w:rsidRPr="0049467D" w14:paraId="3B480FF5" w14:textId="77777777" w:rsidTr="004A11FC">
        <w:trPr>
          <w:trHeight w:val="253"/>
        </w:trPr>
        <w:tc>
          <w:tcPr>
            <w:tcW w:w="9069" w:type="dxa"/>
            <w:gridSpan w:val="4"/>
            <w:tcBorders>
              <w:top w:val="single" w:sz="2" w:space="0" w:color="auto"/>
              <w:left w:val="single" w:sz="2" w:space="0" w:color="auto"/>
              <w:bottom w:val="single" w:sz="2" w:space="0" w:color="auto"/>
              <w:right w:val="single" w:sz="2" w:space="0" w:color="auto"/>
            </w:tcBorders>
            <w:shd w:val="clear" w:color="auto" w:fill="99CDDD"/>
          </w:tcPr>
          <w:p w14:paraId="06CE816E" w14:textId="77777777" w:rsidR="0062657E" w:rsidRPr="0049467D" w:rsidRDefault="0062657E" w:rsidP="0049234F">
            <w:pPr>
              <w:keepNext/>
              <w:spacing w:before="40" w:after="20" w:line="276" w:lineRule="auto"/>
              <w:rPr>
                <w:rFonts w:eastAsia="Calibri" w:cs="Arial"/>
                <w:b/>
                <w:szCs w:val="22"/>
              </w:rPr>
            </w:pPr>
            <w:r w:rsidRPr="0049467D">
              <w:rPr>
                <w:rFonts w:eastAsia="Calibri" w:cs="Arial"/>
                <w:b/>
                <w:szCs w:val="22"/>
              </w:rPr>
              <w:t>Additional costs of proposed approach, compared to taking no action</w:t>
            </w:r>
          </w:p>
        </w:tc>
      </w:tr>
      <w:tr w:rsidR="0049467D" w:rsidRPr="0049467D" w14:paraId="62908D71"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6991048" w14:textId="7B2CA725" w:rsidR="0062657E" w:rsidRPr="005F143B" w:rsidRDefault="007D59F2" w:rsidP="0097173F">
            <w:pPr>
              <w:pStyle w:val="TableText"/>
              <w:keepNext/>
              <w:spacing w:line="276" w:lineRule="auto"/>
              <w:rPr>
                <w:rFonts w:eastAsia="Calibri" w:cs="Arial"/>
                <w:sz w:val="16"/>
                <w:szCs w:val="16"/>
              </w:rPr>
            </w:pPr>
            <w:r w:rsidRPr="005F143B">
              <w:rPr>
                <w:rFonts w:eastAsia="Calibri" w:cs="Arial"/>
                <w:sz w:val="16"/>
                <w:szCs w:val="16"/>
              </w:rPr>
              <w:t>Investors</w:t>
            </w:r>
            <w:r w:rsidR="00712EC7">
              <w:rPr>
                <w:rFonts w:eastAsia="Calibri" w:cs="Arial"/>
                <w:sz w:val="16"/>
                <w:szCs w:val="16"/>
              </w:rPr>
              <w:t xml:space="preserve">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491271AC" w14:textId="7B152C9A" w:rsidR="0062657E" w:rsidRPr="005F143B" w:rsidRDefault="00B803C0" w:rsidP="005F143B">
            <w:pPr>
              <w:pStyle w:val="TableText"/>
              <w:keepNext/>
              <w:spacing w:line="276" w:lineRule="auto"/>
              <w:rPr>
                <w:rFonts w:eastAsia="Calibri" w:cs="Arial"/>
                <w:sz w:val="16"/>
                <w:szCs w:val="16"/>
              </w:rPr>
            </w:pPr>
            <w:r w:rsidRPr="005F143B">
              <w:rPr>
                <w:rFonts w:eastAsia="Calibri" w:cs="Arial"/>
                <w:sz w:val="16"/>
                <w:szCs w:val="16"/>
              </w:rPr>
              <w:t xml:space="preserve">Residential property investors who negatively gear will face higher tax liabilities </w:t>
            </w:r>
            <w:r w:rsidR="0097173F">
              <w:rPr>
                <w:rFonts w:eastAsia="Calibri" w:cs="Arial"/>
                <w:sz w:val="16"/>
                <w:szCs w:val="16"/>
              </w:rPr>
              <w:t xml:space="preserve">for as long </w:t>
            </w:r>
            <w:r w:rsidR="0097173F">
              <w:rPr>
                <w:rFonts w:eastAsia="Calibri" w:cs="Arial"/>
                <w:sz w:val="16"/>
                <w:szCs w:val="16"/>
              </w:rPr>
              <w:lastRenderedPageBreak/>
              <w:t>as they are making losses on their investment</w:t>
            </w:r>
            <w:r w:rsidR="00712EC7">
              <w:rPr>
                <w:rFonts w:eastAsia="Calibri" w:cs="Arial"/>
                <w:sz w:val="16"/>
                <w:szCs w:val="16"/>
              </w:rPr>
              <w:t>.</w:t>
            </w:r>
          </w:p>
          <w:p w14:paraId="639FB351" w14:textId="10EEBFFB" w:rsidR="00B803C0" w:rsidRPr="005F143B" w:rsidRDefault="00B803C0" w:rsidP="00712EC7">
            <w:pPr>
              <w:pStyle w:val="TableText"/>
              <w:keepNext/>
              <w:spacing w:line="276" w:lineRule="auto"/>
              <w:rPr>
                <w:rFonts w:eastAsia="Calibri" w:cs="Arial"/>
                <w:sz w:val="16"/>
                <w:szCs w:val="16"/>
              </w:rPr>
            </w:pPr>
            <w:r w:rsidRPr="005F143B">
              <w:rPr>
                <w:rFonts w:eastAsia="Calibri" w:cs="Arial"/>
                <w:sz w:val="16"/>
                <w:szCs w:val="16"/>
              </w:rPr>
              <w:t>I</w:t>
            </w:r>
            <w:r w:rsidR="00712EC7">
              <w:rPr>
                <w:rFonts w:eastAsia="Calibri" w:cs="Arial"/>
                <w:sz w:val="16"/>
                <w:szCs w:val="16"/>
              </w:rPr>
              <w:t xml:space="preserve">nland </w:t>
            </w:r>
            <w:r w:rsidRPr="005F143B">
              <w:rPr>
                <w:rFonts w:eastAsia="Calibri" w:cs="Arial"/>
                <w:sz w:val="16"/>
                <w:szCs w:val="16"/>
              </w:rPr>
              <w:t>R</w:t>
            </w:r>
            <w:r w:rsidR="00712EC7">
              <w:rPr>
                <w:rFonts w:eastAsia="Calibri" w:cs="Arial"/>
                <w:sz w:val="16"/>
                <w:szCs w:val="16"/>
              </w:rPr>
              <w:t>evenue</w:t>
            </w:r>
            <w:r w:rsidRPr="005F143B">
              <w:rPr>
                <w:rFonts w:eastAsia="Calibri" w:cs="Arial"/>
                <w:sz w:val="16"/>
                <w:szCs w:val="16"/>
              </w:rPr>
              <w:t xml:space="preserve"> estimates that approximately 40% of taxpayers with rental</w:t>
            </w:r>
            <w:r w:rsidR="00712EC7">
              <w:rPr>
                <w:rFonts w:eastAsia="Calibri" w:cs="Arial"/>
                <w:sz w:val="16"/>
                <w:szCs w:val="16"/>
              </w:rPr>
              <w:t xml:space="preserve"> properties</w:t>
            </w:r>
            <w:r w:rsidRPr="005F143B">
              <w:rPr>
                <w:rFonts w:eastAsia="Calibri" w:cs="Arial"/>
                <w:sz w:val="16"/>
                <w:szCs w:val="16"/>
              </w:rPr>
              <w:t xml:space="preserve"> record rental losses</w:t>
            </w:r>
            <w:r w:rsidR="00712EC7">
              <w:rPr>
                <w:rFonts w:eastAsia="Calibri" w:cs="Arial"/>
                <w:sz w:val="16"/>
                <w:szCs w:val="16"/>
              </w:rPr>
              <w:t>,</w:t>
            </w:r>
            <w:r w:rsidRPr="005F143B">
              <w:rPr>
                <w:rFonts w:eastAsia="Calibri" w:cs="Arial"/>
                <w:sz w:val="16"/>
                <w:szCs w:val="16"/>
              </w:rPr>
              <w:t xml:space="preserve"> with an average estimated tax benefit of $2,000</w:t>
            </w:r>
            <w:r w:rsidR="00712EC7">
              <w:rPr>
                <w:rFonts w:eastAsia="Calibri" w:cs="Arial"/>
                <w:sz w:val="16"/>
                <w:szCs w:val="16"/>
              </w:rPr>
              <w:t xml:space="preserve"> per annum.</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1E4FBFDD" w14:textId="1AAB3FAE" w:rsidR="00687C12" w:rsidRPr="00B4748C" w:rsidRDefault="00687C12" w:rsidP="00712EC7">
            <w:pPr>
              <w:pStyle w:val="TableText"/>
              <w:keepNext/>
              <w:spacing w:line="276" w:lineRule="auto"/>
              <w:jc w:val="right"/>
              <w:rPr>
                <w:rFonts w:eastAsia="Calibri" w:cs="Arial"/>
                <w:sz w:val="16"/>
                <w:szCs w:val="16"/>
              </w:rPr>
            </w:pPr>
            <w:r w:rsidRPr="00B4748C">
              <w:rPr>
                <w:rFonts w:eastAsia="Calibri" w:cs="Arial"/>
                <w:sz w:val="16"/>
                <w:szCs w:val="16"/>
              </w:rPr>
              <w:lastRenderedPageBreak/>
              <w:t>$</w:t>
            </w:r>
            <w:r w:rsidR="00B4748C">
              <w:rPr>
                <w:rFonts w:eastAsia="Calibri" w:cs="Arial"/>
                <w:sz w:val="16"/>
                <w:szCs w:val="16"/>
              </w:rPr>
              <w:t>570</w:t>
            </w:r>
            <w:r w:rsidRPr="00B4748C">
              <w:rPr>
                <w:rFonts w:eastAsia="Calibri" w:cs="Arial"/>
                <w:sz w:val="16"/>
                <w:szCs w:val="16"/>
              </w:rPr>
              <w:t xml:space="preserve">m total over 5-year forecast period </w:t>
            </w:r>
            <w:r w:rsidR="00B803C0" w:rsidRPr="00B4748C">
              <w:rPr>
                <w:rFonts w:eastAsia="Calibri" w:cs="Arial"/>
                <w:sz w:val="16"/>
                <w:szCs w:val="16"/>
              </w:rPr>
              <w:t xml:space="preserve">(not </w:t>
            </w:r>
            <w:r w:rsidR="00B803C0" w:rsidRPr="00B4748C">
              <w:rPr>
                <w:rFonts w:eastAsia="Calibri" w:cs="Arial"/>
                <w:sz w:val="16"/>
                <w:szCs w:val="16"/>
              </w:rPr>
              <w:lastRenderedPageBreak/>
              <w:t>discounted)</w:t>
            </w:r>
            <w:r w:rsidRPr="00B4748C">
              <w:rPr>
                <w:rFonts w:eastAsia="Calibri" w:cs="Arial"/>
                <w:sz w:val="16"/>
                <w:szCs w:val="16"/>
              </w:rPr>
              <w:t xml:space="preserve">, assuming </w:t>
            </w:r>
            <w:r w:rsidR="00B4748C" w:rsidRPr="00B4748C">
              <w:rPr>
                <w:rFonts w:eastAsia="Calibri" w:cs="Arial"/>
                <w:sz w:val="16"/>
                <w:szCs w:val="16"/>
              </w:rPr>
              <w:t xml:space="preserve">full application </w:t>
            </w:r>
            <w:r w:rsidRPr="00B4748C">
              <w:rPr>
                <w:rFonts w:eastAsia="Calibri" w:cs="Arial"/>
                <w:sz w:val="16"/>
                <w:szCs w:val="16"/>
              </w:rPr>
              <w:t xml:space="preserve">from 2019-20 </w:t>
            </w:r>
            <w:r w:rsidR="00712EC7" w:rsidRPr="00B4748C">
              <w:rPr>
                <w:rFonts w:eastAsia="Calibri" w:cs="Arial"/>
                <w:sz w:val="16"/>
                <w:szCs w:val="16"/>
              </w:rPr>
              <w:t>income</w:t>
            </w:r>
            <w:r w:rsidRPr="00B4748C">
              <w:rPr>
                <w:rFonts w:eastAsia="Calibri" w:cs="Arial"/>
                <w:sz w:val="16"/>
                <w:szCs w:val="16"/>
              </w:rPr>
              <w:t xml:space="preserve"> year</w:t>
            </w:r>
            <w:r w:rsidR="00712EC7" w:rsidRPr="00B4748C">
              <w:rPr>
                <w:rFonts w:eastAsia="Calibri" w:cs="Arial"/>
                <w:sz w:val="16"/>
                <w:szCs w:val="16"/>
              </w:rPr>
              <w:t>.</w:t>
            </w:r>
            <w:r w:rsidR="000002FA">
              <w:rPr>
                <w:rStyle w:val="FootnoteReference"/>
                <w:rFonts w:eastAsia="Calibri" w:cs="Arial"/>
                <w:szCs w:val="16"/>
              </w:rPr>
              <w:footnoteReference w:id="9"/>
            </w:r>
          </w:p>
          <w:p w14:paraId="5718014B" w14:textId="75D0EA5F" w:rsidR="00825968" w:rsidRPr="00B4748C" w:rsidRDefault="00825968" w:rsidP="00712EC7">
            <w:pPr>
              <w:pStyle w:val="TableText"/>
              <w:keepNext/>
              <w:spacing w:line="276" w:lineRule="auto"/>
              <w:jc w:val="right"/>
              <w:rPr>
                <w:rFonts w:eastAsia="Calibri" w:cs="Arial"/>
                <w:sz w:val="16"/>
                <w:szCs w:val="16"/>
              </w:rPr>
            </w:pPr>
            <w:r w:rsidRPr="00B4748C">
              <w:rPr>
                <w:rFonts w:eastAsia="Calibri" w:cs="Arial"/>
                <w:sz w:val="16"/>
                <w:szCs w:val="16"/>
              </w:rPr>
              <w:t>And then $190m/yr ongoing.</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EF68671" w14:textId="77777777" w:rsidR="0062657E" w:rsidRPr="00B4748C" w:rsidRDefault="00B803C0" w:rsidP="00712EC7">
            <w:pPr>
              <w:pStyle w:val="TableText"/>
              <w:keepNext/>
              <w:spacing w:line="276" w:lineRule="auto"/>
              <w:jc w:val="right"/>
              <w:rPr>
                <w:rFonts w:eastAsia="Calibri" w:cs="Arial"/>
                <w:sz w:val="16"/>
                <w:szCs w:val="16"/>
              </w:rPr>
            </w:pPr>
            <w:r w:rsidRPr="00B4748C">
              <w:rPr>
                <w:rFonts w:eastAsia="Calibri" w:cs="Arial"/>
                <w:sz w:val="16"/>
                <w:szCs w:val="16"/>
              </w:rPr>
              <w:lastRenderedPageBreak/>
              <w:t>High</w:t>
            </w:r>
          </w:p>
        </w:tc>
      </w:tr>
      <w:tr w:rsidR="007D59F2" w:rsidRPr="0049467D" w14:paraId="079E20ED"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E8F1392" w14:textId="77777777" w:rsidR="007D59F2" w:rsidRPr="005F143B" w:rsidRDefault="005F143B" w:rsidP="0049234F">
            <w:pPr>
              <w:pStyle w:val="TableText"/>
              <w:keepNext/>
              <w:spacing w:line="276" w:lineRule="auto"/>
              <w:rPr>
                <w:rFonts w:eastAsia="Calibri" w:cs="Arial"/>
                <w:sz w:val="16"/>
                <w:szCs w:val="16"/>
              </w:rPr>
            </w:pPr>
            <w:r w:rsidRPr="005F143B">
              <w:rPr>
                <w:rFonts w:eastAsia="Calibri" w:cs="Arial"/>
                <w:sz w:val="16"/>
                <w:szCs w:val="16"/>
              </w:rPr>
              <w:t>Owner-occupiers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1EEBAFB" w14:textId="70C64E1C" w:rsidR="007D59F2" w:rsidRPr="005F143B" w:rsidRDefault="005F143B" w:rsidP="005F143B">
            <w:pPr>
              <w:pStyle w:val="TableText"/>
              <w:keepNext/>
              <w:spacing w:line="276" w:lineRule="auto"/>
              <w:rPr>
                <w:rFonts w:eastAsia="Calibri" w:cs="Arial"/>
                <w:sz w:val="16"/>
                <w:szCs w:val="16"/>
              </w:rPr>
            </w:pPr>
            <w:r w:rsidRPr="005F143B">
              <w:rPr>
                <w:rFonts w:eastAsia="Calibri" w:cs="Arial"/>
                <w:sz w:val="16"/>
                <w:szCs w:val="16"/>
              </w:rPr>
              <w:t xml:space="preserve">Current home owners will be negatively impacted insofar as the policy puts downwards </w:t>
            </w:r>
            <w:r w:rsidR="000822DA">
              <w:rPr>
                <w:rFonts w:eastAsia="Calibri" w:cs="Arial"/>
                <w:sz w:val="16"/>
                <w:szCs w:val="16"/>
              </w:rPr>
              <w:t xml:space="preserve">pressure </w:t>
            </w:r>
            <w:r w:rsidRPr="005F143B">
              <w:rPr>
                <w:rFonts w:eastAsia="Calibri" w:cs="Arial"/>
                <w:sz w:val="16"/>
                <w:szCs w:val="16"/>
              </w:rPr>
              <w:t>on house prices</w:t>
            </w:r>
            <w:r w:rsidR="00712EC7">
              <w:rPr>
                <w:rFonts w:eastAsia="Calibri" w:cs="Arial"/>
                <w:sz w:val="16"/>
                <w:szCs w:val="16"/>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2E87FB16" w14:textId="42BD5905" w:rsidR="00B803C0" w:rsidRPr="005F143B" w:rsidRDefault="005F143B" w:rsidP="00AC1448">
            <w:pPr>
              <w:pStyle w:val="TableText"/>
              <w:keepNext/>
              <w:spacing w:line="276" w:lineRule="auto"/>
              <w:jc w:val="right"/>
              <w:rPr>
                <w:rFonts w:eastAsia="Calibri" w:cs="Arial"/>
                <w:sz w:val="16"/>
                <w:szCs w:val="16"/>
              </w:rPr>
            </w:pPr>
            <w:r w:rsidRPr="005F143B">
              <w:rPr>
                <w:rFonts w:eastAsia="Calibri" w:cs="Arial"/>
                <w:sz w:val="16"/>
                <w:szCs w:val="16"/>
              </w:rPr>
              <w:t>Low</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1B854E8" w14:textId="77777777" w:rsidR="005F143B" w:rsidRPr="005F143B" w:rsidRDefault="005F143B" w:rsidP="005F143B">
            <w:pPr>
              <w:pStyle w:val="TableText"/>
              <w:keepNext/>
              <w:spacing w:line="276" w:lineRule="auto"/>
              <w:jc w:val="right"/>
              <w:rPr>
                <w:rFonts w:eastAsia="Calibri" w:cs="Arial"/>
                <w:sz w:val="16"/>
                <w:szCs w:val="16"/>
              </w:rPr>
            </w:pPr>
            <w:r w:rsidRPr="005F143B">
              <w:rPr>
                <w:rFonts w:eastAsia="Calibri" w:cs="Arial"/>
                <w:sz w:val="16"/>
                <w:szCs w:val="16"/>
              </w:rPr>
              <w:t>Low</w:t>
            </w:r>
          </w:p>
        </w:tc>
      </w:tr>
      <w:tr w:rsidR="007D59F2" w:rsidRPr="0049467D" w14:paraId="1BF5BC2F"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5861D300" w14:textId="77777777" w:rsidR="007D59F2" w:rsidRPr="005F143B" w:rsidRDefault="007D59F2" w:rsidP="0049234F">
            <w:pPr>
              <w:pStyle w:val="TableText"/>
              <w:keepNext/>
              <w:spacing w:line="276" w:lineRule="auto"/>
              <w:rPr>
                <w:rFonts w:eastAsia="Calibri" w:cs="Arial"/>
                <w:sz w:val="16"/>
                <w:szCs w:val="16"/>
              </w:rPr>
            </w:pPr>
            <w:r w:rsidRPr="005F143B">
              <w:rPr>
                <w:rFonts w:eastAsia="Calibri" w:cs="Arial"/>
                <w:sz w:val="16"/>
                <w:szCs w:val="16"/>
              </w:rPr>
              <w:t>Renters</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497B2D1A" w14:textId="77E99583" w:rsidR="005F143B" w:rsidRPr="005F143B" w:rsidRDefault="005F143B" w:rsidP="005F7FB6">
            <w:pPr>
              <w:pStyle w:val="TableText"/>
              <w:keepNext/>
              <w:spacing w:line="276" w:lineRule="auto"/>
              <w:rPr>
                <w:rFonts w:eastAsia="Calibri" w:cs="Arial"/>
                <w:sz w:val="16"/>
                <w:szCs w:val="16"/>
              </w:rPr>
            </w:pPr>
            <w:r w:rsidRPr="005F143B">
              <w:rPr>
                <w:rFonts w:eastAsia="Calibri" w:cs="Arial"/>
                <w:sz w:val="16"/>
                <w:szCs w:val="16"/>
              </w:rPr>
              <w:t>Loss ring-fencing will reduce after tax rental returns for some landlords.  This could encourage the transfer of housing stock from investment housing (ie, rental housing) to owner-occupier housing, putting pressure on the remaining renta</w:t>
            </w:r>
            <w:r w:rsidR="005F7FB6">
              <w:rPr>
                <w:rFonts w:eastAsia="Calibri" w:cs="Arial"/>
                <w:sz w:val="16"/>
                <w:szCs w:val="16"/>
              </w:rPr>
              <w:t xml:space="preserve">l stock.  </w:t>
            </w:r>
            <w:r w:rsidRPr="005F143B">
              <w:rPr>
                <w:rFonts w:eastAsia="Calibri" w:cs="Arial"/>
                <w:sz w:val="16"/>
                <w:szCs w:val="16"/>
              </w:rPr>
              <w:t xml:space="preserve">Reduced supply </w:t>
            </w:r>
            <w:r w:rsidR="005F7FB6">
              <w:rPr>
                <w:rFonts w:eastAsia="Calibri" w:cs="Arial"/>
                <w:sz w:val="16"/>
                <w:szCs w:val="16"/>
              </w:rPr>
              <w:t xml:space="preserve">of rental housing could </w:t>
            </w:r>
            <w:r w:rsidRPr="005F143B">
              <w:rPr>
                <w:rFonts w:eastAsia="Calibri" w:cs="Arial"/>
                <w:sz w:val="16"/>
                <w:szCs w:val="16"/>
              </w:rPr>
              <w:t>put upwa</w:t>
            </w:r>
            <w:r w:rsidR="005F7FB6">
              <w:rPr>
                <w:rFonts w:eastAsia="Calibri" w:cs="Arial"/>
                <w:sz w:val="16"/>
                <w:szCs w:val="16"/>
              </w:rPr>
              <w:t xml:space="preserve">rds pressure on rental prices. </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157E2134" w14:textId="77777777" w:rsidR="007D59F2" w:rsidRPr="005F143B" w:rsidRDefault="005F143B" w:rsidP="005F143B">
            <w:pPr>
              <w:pStyle w:val="TableText"/>
              <w:keepNext/>
              <w:spacing w:line="276" w:lineRule="auto"/>
              <w:jc w:val="right"/>
              <w:rPr>
                <w:rFonts w:eastAsia="Calibri" w:cs="Arial"/>
                <w:sz w:val="16"/>
                <w:szCs w:val="16"/>
              </w:rPr>
            </w:pPr>
            <w:r>
              <w:rPr>
                <w:rFonts w:eastAsia="Calibri" w:cs="Arial"/>
                <w:sz w:val="16"/>
                <w:szCs w:val="16"/>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22CC8ACE" w14:textId="77777777" w:rsidR="007D59F2" w:rsidRPr="005F143B" w:rsidRDefault="005F143B" w:rsidP="005F143B">
            <w:pPr>
              <w:pStyle w:val="TableText"/>
              <w:keepNext/>
              <w:spacing w:line="276" w:lineRule="auto"/>
              <w:jc w:val="right"/>
              <w:rPr>
                <w:rFonts w:eastAsia="Calibri" w:cs="Arial"/>
                <w:sz w:val="16"/>
                <w:szCs w:val="16"/>
              </w:rPr>
            </w:pPr>
            <w:r>
              <w:rPr>
                <w:rFonts w:eastAsia="Calibri" w:cs="Arial"/>
                <w:sz w:val="16"/>
                <w:szCs w:val="16"/>
              </w:rPr>
              <w:t>Low</w:t>
            </w:r>
          </w:p>
        </w:tc>
      </w:tr>
      <w:tr w:rsidR="007D59F2" w:rsidRPr="0049467D" w14:paraId="75D7EC92"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3D410528" w14:textId="77777777" w:rsidR="007D59F2" w:rsidRPr="005F143B" w:rsidRDefault="007D59F2" w:rsidP="005F143B">
            <w:pPr>
              <w:pStyle w:val="TableText"/>
              <w:keepNext/>
              <w:spacing w:line="276" w:lineRule="auto"/>
              <w:rPr>
                <w:rFonts w:eastAsia="Calibri" w:cs="Arial"/>
                <w:sz w:val="16"/>
                <w:szCs w:val="16"/>
              </w:rPr>
            </w:pPr>
            <w:r w:rsidRPr="005F143B">
              <w:rPr>
                <w:rFonts w:eastAsia="Calibri" w:cs="Arial"/>
                <w:sz w:val="16"/>
                <w:szCs w:val="16"/>
              </w:rPr>
              <w:t>Inland Revenue</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026F9E36" w14:textId="0B385BFE" w:rsidR="007D59F2" w:rsidRPr="005F143B" w:rsidRDefault="005F143B" w:rsidP="005F143B">
            <w:pPr>
              <w:pStyle w:val="TableText"/>
              <w:keepNext/>
              <w:spacing w:line="276" w:lineRule="auto"/>
              <w:rPr>
                <w:rFonts w:eastAsia="Calibri" w:cs="Arial"/>
                <w:sz w:val="16"/>
                <w:szCs w:val="16"/>
              </w:rPr>
            </w:pPr>
            <w:r>
              <w:rPr>
                <w:rFonts w:eastAsia="Calibri" w:cs="Arial"/>
                <w:sz w:val="16"/>
                <w:szCs w:val="16"/>
              </w:rPr>
              <w:t>Initial I</w:t>
            </w:r>
            <w:r w:rsidR="00712EC7">
              <w:rPr>
                <w:rFonts w:eastAsia="Calibri" w:cs="Arial"/>
                <w:sz w:val="16"/>
                <w:szCs w:val="16"/>
              </w:rPr>
              <w:t xml:space="preserve">nland </w:t>
            </w:r>
            <w:r>
              <w:rPr>
                <w:rFonts w:eastAsia="Calibri" w:cs="Arial"/>
                <w:sz w:val="16"/>
                <w:szCs w:val="16"/>
              </w:rPr>
              <w:t>R</w:t>
            </w:r>
            <w:r w:rsidR="00712EC7">
              <w:rPr>
                <w:rFonts w:eastAsia="Calibri" w:cs="Arial"/>
                <w:sz w:val="16"/>
                <w:szCs w:val="16"/>
              </w:rPr>
              <w:t>evenue</w:t>
            </w:r>
            <w:r>
              <w:rPr>
                <w:rFonts w:eastAsia="Calibri" w:cs="Arial"/>
                <w:sz w:val="16"/>
                <w:szCs w:val="16"/>
              </w:rPr>
              <w:t xml:space="preserve"> estimates suggest implementation costs will be up to $1.5 million, mostly through changes to START (I</w:t>
            </w:r>
            <w:r w:rsidR="00712EC7">
              <w:rPr>
                <w:rFonts w:eastAsia="Calibri" w:cs="Arial"/>
                <w:sz w:val="16"/>
                <w:szCs w:val="16"/>
              </w:rPr>
              <w:t xml:space="preserve">nland </w:t>
            </w:r>
            <w:r>
              <w:rPr>
                <w:rFonts w:eastAsia="Calibri" w:cs="Arial"/>
                <w:sz w:val="16"/>
                <w:szCs w:val="16"/>
              </w:rPr>
              <w:t>R</w:t>
            </w:r>
            <w:r w:rsidR="00712EC7">
              <w:rPr>
                <w:rFonts w:eastAsia="Calibri" w:cs="Arial"/>
                <w:sz w:val="16"/>
                <w:szCs w:val="16"/>
              </w:rPr>
              <w:t>evenue</w:t>
            </w:r>
            <w:r>
              <w:rPr>
                <w:rFonts w:eastAsia="Calibri" w:cs="Arial"/>
                <w:sz w:val="16"/>
                <w:szCs w:val="16"/>
              </w:rPr>
              <w:t>’s new tax processing computer system)</w:t>
            </w:r>
            <w:r w:rsidR="00712EC7">
              <w:rPr>
                <w:rFonts w:eastAsia="Calibri" w:cs="Arial"/>
                <w:sz w:val="16"/>
                <w:szCs w:val="16"/>
              </w:rPr>
              <w:t>.</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0F152675" w14:textId="77777777" w:rsidR="00B803C0" w:rsidRPr="005F143B" w:rsidRDefault="005F143B" w:rsidP="00B803C0">
            <w:pPr>
              <w:pStyle w:val="TableText"/>
              <w:keepNext/>
              <w:spacing w:line="276" w:lineRule="auto"/>
              <w:jc w:val="right"/>
              <w:rPr>
                <w:rFonts w:eastAsia="Calibri" w:cs="Arial"/>
                <w:sz w:val="16"/>
                <w:szCs w:val="16"/>
              </w:rPr>
            </w:pPr>
            <w:r>
              <w:rPr>
                <w:rFonts w:eastAsia="Calibri" w:cs="Arial"/>
                <w:sz w:val="16"/>
                <w:szCs w:val="16"/>
              </w:rPr>
              <w:t xml:space="preserve"> Up to </w:t>
            </w:r>
            <w:r w:rsidR="00B803C0" w:rsidRPr="005F143B">
              <w:rPr>
                <w:rFonts w:eastAsia="Calibri" w:cs="Arial"/>
                <w:sz w:val="16"/>
                <w:szCs w:val="16"/>
              </w:rPr>
              <w:t>$1.5m</w:t>
            </w:r>
          </w:p>
          <w:p w14:paraId="397109C2" w14:textId="77777777" w:rsidR="007D59F2" w:rsidRPr="005F143B" w:rsidRDefault="00B803C0" w:rsidP="00B803C0">
            <w:pPr>
              <w:pStyle w:val="TableText"/>
              <w:keepNext/>
              <w:spacing w:line="276" w:lineRule="auto"/>
              <w:jc w:val="right"/>
              <w:rPr>
                <w:rFonts w:eastAsia="Calibri" w:cs="Arial"/>
                <w:sz w:val="16"/>
                <w:szCs w:val="16"/>
              </w:rPr>
            </w:pPr>
            <w:r w:rsidRPr="005F143B">
              <w:rPr>
                <w:rFonts w:eastAsia="Calibri" w:cs="Arial"/>
                <w:sz w:val="16"/>
                <w:szCs w:val="16"/>
              </w:rPr>
              <w:t>(not discounted)</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40902B3F" w14:textId="77777777" w:rsidR="007D59F2" w:rsidRPr="005F143B" w:rsidRDefault="005F143B" w:rsidP="005F143B">
            <w:pPr>
              <w:pStyle w:val="TableText"/>
              <w:keepNext/>
              <w:spacing w:line="276" w:lineRule="auto"/>
              <w:jc w:val="right"/>
              <w:rPr>
                <w:rFonts w:eastAsia="Calibri" w:cs="Arial"/>
                <w:sz w:val="16"/>
                <w:szCs w:val="16"/>
              </w:rPr>
            </w:pPr>
            <w:r>
              <w:rPr>
                <w:rFonts w:eastAsia="Calibri" w:cs="Arial"/>
                <w:sz w:val="16"/>
                <w:szCs w:val="16"/>
              </w:rPr>
              <w:t>High</w:t>
            </w:r>
          </w:p>
        </w:tc>
      </w:tr>
      <w:tr w:rsidR="005F143B" w:rsidRPr="0049467D" w14:paraId="49C44689"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779B9153" w14:textId="4C8CDEB6" w:rsidR="005F143B" w:rsidRPr="005F143B" w:rsidRDefault="005F7FB6" w:rsidP="005F7FB6">
            <w:pPr>
              <w:pStyle w:val="TableText"/>
              <w:keepNext/>
              <w:spacing w:line="276" w:lineRule="auto"/>
              <w:rPr>
                <w:rFonts w:eastAsia="Calibri" w:cs="Arial"/>
                <w:sz w:val="16"/>
                <w:szCs w:val="16"/>
              </w:rPr>
            </w:pPr>
            <w:r>
              <w:rPr>
                <w:rFonts w:eastAsia="Calibri" w:cs="Arial"/>
                <w:sz w:val="16"/>
                <w:szCs w:val="16"/>
              </w:rPr>
              <w:t>Wid</w:t>
            </w:r>
            <w:r w:rsidR="005F143B">
              <w:rPr>
                <w:rFonts w:eastAsia="Calibri" w:cs="Arial"/>
                <w:sz w:val="16"/>
                <w:szCs w:val="16"/>
              </w:rPr>
              <w:t xml:space="preserve">er </w:t>
            </w:r>
            <w:r>
              <w:rPr>
                <w:rFonts w:eastAsia="Calibri" w:cs="Arial"/>
                <w:sz w:val="16"/>
                <w:szCs w:val="16"/>
              </w:rPr>
              <w:t>g</w:t>
            </w:r>
            <w:r w:rsidR="005F143B">
              <w:rPr>
                <w:rFonts w:eastAsia="Calibri" w:cs="Arial"/>
                <w:sz w:val="16"/>
                <w:szCs w:val="16"/>
              </w:rPr>
              <w:t>overnment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262319C3" w14:textId="77777777" w:rsidR="005F143B" w:rsidRPr="005F143B" w:rsidRDefault="005F143B" w:rsidP="005F143B">
            <w:pPr>
              <w:pStyle w:val="TableText"/>
              <w:keepNext/>
              <w:spacing w:line="276" w:lineRule="auto"/>
              <w:rPr>
                <w:rFonts w:eastAsia="Calibri" w:cs="Arial"/>
                <w:sz w:val="16"/>
                <w:szCs w:val="16"/>
              </w:rPr>
            </w:pPr>
            <w:r>
              <w:rPr>
                <w:rFonts w:eastAsia="Calibri" w:cs="Arial"/>
                <w:sz w:val="16"/>
                <w:szCs w:val="16"/>
              </w:rPr>
              <w:t xml:space="preserve">Pressures in the rental market </w:t>
            </w:r>
            <w:r w:rsidRPr="005F143B">
              <w:rPr>
                <w:rFonts w:eastAsia="Calibri" w:cs="Arial"/>
                <w:sz w:val="16"/>
                <w:szCs w:val="16"/>
              </w:rPr>
              <w:t>could increase fiscal costs to the Government, most directly from higher income-related rent subsidy costs.</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2BA00404" w14:textId="77777777" w:rsidR="005F143B" w:rsidRPr="005F143B" w:rsidRDefault="005F143B" w:rsidP="00B803C0">
            <w:pPr>
              <w:pStyle w:val="TableText"/>
              <w:keepNext/>
              <w:spacing w:line="276" w:lineRule="auto"/>
              <w:jc w:val="right"/>
              <w:rPr>
                <w:rFonts w:eastAsia="Calibri" w:cs="Arial"/>
                <w:sz w:val="16"/>
                <w:szCs w:val="16"/>
              </w:rPr>
            </w:pPr>
            <w:r>
              <w:rPr>
                <w:rFonts w:eastAsia="Calibri" w:cs="Arial"/>
                <w:sz w:val="16"/>
                <w:szCs w:val="16"/>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34C6CD71" w14:textId="765CFB04" w:rsidR="005F143B" w:rsidRDefault="000002FA" w:rsidP="005F143B">
            <w:pPr>
              <w:pStyle w:val="TableText"/>
              <w:keepNext/>
              <w:spacing w:line="276" w:lineRule="auto"/>
              <w:jc w:val="right"/>
              <w:rPr>
                <w:rFonts w:eastAsia="Calibri" w:cs="Arial"/>
                <w:sz w:val="16"/>
                <w:szCs w:val="16"/>
              </w:rPr>
            </w:pPr>
            <w:r>
              <w:rPr>
                <w:rFonts w:eastAsia="Calibri" w:cs="Arial"/>
                <w:sz w:val="16"/>
                <w:szCs w:val="16"/>
              </w:rPr>
              <w:t>Low</w:t>
            </w:r>
          </w:p>
        </w:tc>
      </w:tr>
      <w:tr w:rsidR="0049467D" w:rsidRPr="0049467D" w14:paraId="6C8E1504"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09D2D17C" w14:textId="77777777" w:rsidR="0062657E" w:rsidRPr="005F143B" w:rsidRDefault="0062657E" w:rsidP="0049234F">
            <w:pPr>
              <w:pStyle w:val="TableText"/>
              <w:keepNext/>
              <w:spacing w:line="276" w:lineRule="auto"/>
              <w:rPr>
                <w:rFonts w:eastAsia="Calibri" w:cs="Arial"/>
                <w:b/>
                <w:sz w:val="16"/>
                <w:szCs w:val="16"/>
              </w:rPr>
            </w:pPr>
            <w:r w:rsidRPr="005F143B">
              <w:rPr>
                <w:rFonts w:eastAsia="Calibri" w:cs="Arial"/>
                <w:b/>
                <w:sz w:val="16"/>
                <w:szCs w:val="16"/>
              </w:rPr>
              <w:t>Total Monetised Cost</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77BB421C" w14:textId="77777777" w:rsidR="0062657E" w:rsidRPr="005F143B" w:rsidRDefault="0062657E" w:rsidP="0049234F">
            <w:pPr>
              <w:pStyle w:val="TableText"/>
              <w:keepNext/>
              <w:spacing w:line="276" w:lineRule="auto"/>
              <w:rPr>
                <w:rFonts w:eastAsia="Calibri" w:cs="Arial"/>
                <w:i/>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F02C2FB" w14:textId="60D53F76" w:rsidR="005F143B" w:rsidRPr="00B4748C" w:rsidRDefault="005F143B" w:rsidP="005F7FB6">
            <w:pPr>
              <w:pStyle w:val="TableText"/>
              <w:keepNext/>
              <w:spacing w:line="276" w:lineRule="auto"/>
              <w:jc w:val="right"/>
              <w:rPr>
                <w:rFonts w:eastAsia="Calibri" w:cs="Arial"/>
                <w:sz w:val="16"/>
                <w:szCs w:val="16"/>
              </w:rPr>
            </w:pPr>
            <w:r w:rsidRPr="00B4748C">
              <w:rPr>
                <w:rFonts w:eastAsia="Calibri" w:cs="Arial"/>
                <w:sz w:val="16"/>
                <w:szCs w:val="16"/>
              </w:rPr>
              <w:t>$</w:t>
            </w:r>
            <w:r w:rsidR="00B4748C" w:rsidRPr="00B4748C">
              <w:rPr>
                <w:rFonts w:eastAsia="Calibri" w:cs="Arial"/>
                <w:sz w:val="16"/>
                <w:szCs w:val="16"/>
              </w:rPr>
              <w:t>570</w:t>
            </w:r>
            <w:r w:rsidR="00B803C0" w:rsidRPr="00B4748C">
              <w:rPr>
                <w:rFonts w:eastAsia="Calibri" w:cs="Arial"/>
                <w:sz w:val="16"/>
                <w:szCs w:val="16"/>
              </w:rPr>
              <w:t>m</w:t>
            </w:r>
            <w:r w:rsidR="005F7FB6" w:rsidRPr="00B4748C">
              <w:rPr>
                <w:rFonts w:eastAsia="Calibri" w:cs="Arial"/>
                <w:sz w:val="16"/>
                <w:szCs w:val="16"/>
              </w:rPr>
              <w:t xml:space="preserve"> </w:t>
            </w:r>
            <w:r w:rsidRPr="00B4748C">
              <w:rPr>
                <w:rFonts w:eastAsia="Calibri" w:cs="Arial"/>
                <w:sz w:val="16"/>
                <w:szCs w:val="16"/>
              </w:rPr>
              <w:t>over 5 year forecasting period</w:t>
            </w:r>
            <w:r w:rsidR="005F7FB6" w:rsidRPr="00B4748C">
              <w:rPr>
                <w:rFonts w:eastAsia="Calibri" w:cs="Arial"/>
                <w:sz w:val="16"/>
                <w:szCs w:val="16"/>
              </w:rPr>
              <w:t xml:space="preserve"> (</w:t>
            </w:r>
            <w:r w:rsidRPr="00B4748C">
              <w:rPr>
                <w:rFonts w:eastAsia="Calibri" w:cs="Arial"/>
                <w:sz w:val="16"/>
                <w:szCs w:val="16"/>
              </w:rPr>
              <w:t>not discounted)</w:t>
            </w:r>
            <w:r w:rsidR="005F7FB6" w:rsidRPr="00B4748C">
              <w:rPr>
                <w:rFonts w:eastAsia="Calibri" w:cs="Arial"/>
                <w:sz w:val="16"/>
                <w:szCs w:val="16"/>
              </w:rPr>
              <w:t>.</w:t>
            </w:r>
          </w:p>
          <w:p w14:paraId="7984FEDD" w14:textId="38EA5671" w:rsidR="005F7FB6" w:rsidRPr="005F143B" w:rsidRDefault="005F7FB6" w:rsidP="005F7FB6">
            <w:pPr>
              <w:pStyle w:val="TableText"/>
              <w:keepNext/>
              <w:spacing w:line="276" w:lineRule="auto"/>
              <w:jc w:val="right"/>
              <w:rPr>
                <w:rFonts w:eastAsia="Calibri" w:cs="Arial"/>
                <w:sz w:val="16"/>
                <w:szCs w:val="16"/>
              </w:rPr>
            </w:pPr>
            <w:r w:rsidRPr="00B4748C">
              <w:rPr>
                <w:rFonts w:eastAsia="Calibri" w:cs="Arial"/>
                <w:sz w:val="16"/>
                <w:szCs w:val="16"/>
              </w:rPr>
              <w:t>And then $190m/yr ongoing</w:t>
            </w:r>
            <w:r>
              <w:rPr>
                <w:rFonts w:eastAsia="Calibri" w:cs="Arial"/>
                <w:sz w:val="16"/>
                <w:szCs w:val="16"/>
              </w:rPr>
              <w:t>.</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E325905" w14:textId="2E338AA0" w:rsidR="0062657E" w:rsidRPr="005F143B" w:rsidRDefault="00AC1448" w:rsidP="005F7FB6">
            <w:pPr>
              <w:pStyle w:val="TableText"/>
              <w:keepNext/>
              <w:spacing w:line="276" w:lineRule="auto"/>
              <w:jc w:val="right"/>
              <w:rPr>
                <w:rFonts w:eastAsia="Calibri" w:cs="Arial"/>
                <w:sz w:val="16"/>
                <w:szCs w:val="16"/>
              </w:rPr>
            </w:pPr>
            <w:r>
              <w:rPr>
                <w:rFonts w:eastAsia="Calibri" w:cs="Arial"/>
                <w:sz w:val="16"/>
                <w:szCs w:val="16"/>
              </w:rPr>
              <w:t>High</w:t>
            </w:r>
          </w:p>
        </w:tc>
      </w:tr>
      <w:tr w:rsidR="0049467D" w:rsidRPr="0049467D" w14:paraId="4CA83E48" w14:textId="77777777" w:rsidTr="00FA7EFC">
        <w:trPr>
          <w:trHeight w:val="253"/>
        </w:trPr>
        <w:tc>
          <w:tcPr>
            <w:tcW w:w="1982" w:type="dxa"/>
            <w:tcBorders>
              <w:top w:val="single" w:sz="2" w:space="0" w:color="auto"/>
              <w:left w:val="single" w:sz="2" w:space="0" w:color="auto"/>
              <w:bottom w:val="single" w:sz="2" w:space="0" w:color="auto"/>
              <w:right w:val="single" w:sz="2" w:space="0" w:color="auto"/>
            </w:tcBorders>
            <w:shd w:val="clear" w:color="auto" w:fill="auto"/>
          </w:tcPr>
          <w:p w14:paraId="21C93291" w14:textId="67FEE6D5" w:rsidR="0062657E" w:rsidRPr="005F143B" w:rsidRDefault="0062657E" w:rsidP="007B090A">
            <w:pPr>
              <w:pStyle w:val="TableText"/>
              <w:keepNext/>
              <w:spacing w:line="276" w:lineRule="auto"/>
              <w:rPr>
                <w:rFonts w:eastAsia="Calibri" w:cs="Arial"/>
                <w:b/>
                <w:sz w:val="16"/>
                <w:szCs w:val="16"/>
              </w:rPr>
            </w:pPr>
            <w:r w:rsidRPr="005F143B">
              <w:rPr>
                <w:rFonts w:eastAsia="Calibri" w:cs="Arial"/>
                <w:b/>
                <w:sz w:val="16"/>
                <w:szCs w:val="16"/>
              </w:rPr>
              <w:t xml:space="preserve">Non-monetised costs </w:t>
            </w:r>
          </w:p>
        </w:tc>
        <w:tc>
          <w:tcPr>
            <w:tcW w:w="3544" w:type="dxa"/>
            <w:tcBorders>
              <w:top w:val="single" w:sz="2" w:space="0" w:color="auto"/>
              <w:left w:val="single" w:sz="2" w:space="0" w:color="auto"/>
              <w:bottom w:val="single" w:sz="2" w:space="0" w:color="auto"/>
              <w:right w:val="single" w:sz="2" w:space="0" w:color="auto"/>
            </w:tcBorders>
            <w:shd w:val="clear" w:color="auto" w:fill="auto"/>
          </w:tcPr>
          <w:p w14:paraId="3EA59EBF" w14:textId="77777777" w:rsidR="0062657E" w:rsidRPr="005F143B" w:rsidRDefault="0062657E" w:rsidP="007B090A">
            <w:pPr>
              <w:pStyle w:val="TableText"/>
              <w:keepNext/>
              <w:spacing w:line="276" w:lineRule="auto"/>
              <w:rPr>
                <w:rFonts w:eastAsia="Calibri" w:cs="Arial"/>
                <w:i/>
                <w:sz w:val="16"/>
                <w:szCs w:val="16"/>
              </w:rPr>
            </w:pP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72C7D675" w14:textId="77777777" w:rsidR="0062657E" w:rsidRPr="005F143B" w:rsidRDefault="005F143B" w:rsidP="005F143B">
            <w:pPr>
              <w:pStyle w:val="TableText"/>
              <w:keepNext/>
              <w:spacing w:line="276" w:lineRule="auto"/>
              <w:jc w:val="right"/>
              <w:rPr>
                <w:rFonts w:eastAsia="Calibri" w:cs="Arial"/>
                <w:sz w:val="16"/>
                <w:szCs w:val="16"/>
              </w:rPr>
            </w:pPr>
            <w:r w:rsidRPr="005F143B">
              <w:rPr>
                <w:rFonts w:eastAsia="Calibri" w:cs="Arial"/>
                <w:sz w:val="16"/>
                <w:szCs w:val="16"/>
              </w:rPr>
              <w:t>Medium</w:t>
            </w:r>
          </w:p>
        </w:tc>
        <w:tc>
          <w:tcPr>
            <w:tcW w:w="1275" w:type="dxa"/>
            <w:tcBorders>
              <w:top w:val="single" w:sz="2" w:space="0" w:color="auto"/>
              <w:left w:val="single" w:sz="2" w:space="0" w:color="auto"/>
              <w:bottom w:val="single" w:sz="2" w:space="0" w:color="auto"/>
              <w:right w:val="single" w:sz="2" w:space="0" w:color="auto"/>
            </w:tcBorders>
            <w:shd w:val="clear" w:color="auto" w:fill="auto"/>
          </w:tcPr>
          <w:p w14:paraId="777B34DF" w14:textId="39D97C68" w:rsidR="0062657E" w:rsidRPr="005F143B" w:rsidRDefault="00AC1448" w:rsidP="005F7FB6">
            <w:pPr>
              <w:pStyle w:val="TableText"/>
              <w:keepNext/>
              <w:spacing w:line="276" w:lineRule="auto"/>
              <w:jc w:val="right"/>
              <w:rPr>
                <w:rFonts w:eastAsia="Calibri" w:cs="Arial"/>
                <w:sz w:val="16"/>
                <w:szCs w:val="16"/>
              </w:rPr>
            </w:pPr>
            <w:r>
              <w:rPr>
                <w:rFonts w:eastAsia="Calibri" w:cs="Arial"/>
                <w:sz w:val="16"/>
                <w:szCs w:val="16"/>
              </w:rPr>
              <w:t>Low</w:t>
            </w:r>
          </w:p>
        </w:tc>
      </w:tr>
    </w:tbl>
    <w:p w14:paraId="6D6A1FF4" w14:textId="77777777" w:rsidR="0062657E" w:rsidRPr="0049467D" w:rsidRDefault="0062657E" w:rsidP="0049234F">
      <w:pPr>
        <w:pStyle w:val="spacer"/>
      </w:pPr>
    </w:p>
    <w:tbl>
      <w:tblPr>
        <w:tblpPr w:leftFromText="180" w:rightFromText="180" w:vertAnchor="text" w:tblpX="6" w:tblpY="1"/>
        <w:tblOverlap w:val="never"/>
        <w:tblW w:w="90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2"/>
        <w:gridCol w:w="3685"/>
        <w:gridCol w:w="2127"/>
        <w:gridCol w:w="1277"/>
      </w:tblGrid>
      <w:tr w:rsidR="0049467D" w:rsidRPr="0049467D" w14:paraId="36965BBE" w14:textId="77777777" w:rsidTr="004A11FC">
        <w:trPr>
          <w:trHeight w:val="253"/>
        </w:trPr>
        <w:tc>
          <w:tcPr>
            <w:tcW w:w="9071" w:type="dxa"/>
            <w:gridSpan w:val="4"/>
            <w:shd w:val="clear" w:color="auto" w:fill="99CDDD"/>
          </w:tcPr>
          <w:p w14:paraId="1B58BEA4" w14:textId="77777777" w:rsidR="0062657E" w:rsidRPr="0049467D" w:rsidRDefault="0062657E" w:rsidP="007B090A">
            <w:pPr>
              <w:spacing w:before="40" w:after="20" w:line="276" w:lineRule="auto"/>
              <w:rPr>
                <w:rFonts w:eastAsia="Calibri" w:cs="Arial"/>
                <w:b/>
                <w:szCs w:val="22"/>
              </w:rPr>
            </w:pPr>
            <w:r w:rsidRPr="0049467D">
              <w:rPr>
                <w:rFonts w:eastAsia="Calibri" w:cs="Arial"/>
                <w:b/>
                <w:szCs w:val="22"/>
              </w:rPr>
              <w:t>Expected benefits of proposed approach, compared to taking no action</w:t>
            </w:r>
          </w:p>
        </w:tc>
      </w:tr>
      <w:tr w:rsidR="007D59F2" w:rsidRPr="0049467D" w14:paraId="55C0CC73" w14:textId="77777777" w:rsidTr="0049467D">
        <w:trPr>
          <w:trHeight w:val="253"/>
        </w:trPr>
        <w:tc>
          <w:tcPr>
            <w:tcW w:w="1982" w:type="dxa"/>
            <w:shd w:val="clear" w:color="auto" w:fill="auto"/>
          </w:tcPr>
          <w:p w14:paraId="0B450CE4" w14:textId="76347438" w:rsidR="007D59F2" w:rsidRPr="00687C12" w:rsidRDefault="007D59F2" w:rsidP="007D59F2">
            <w:pPr>
              <w:pStyle w:val="TableText"/>
              <w:spacing w:line="276" w:lineRule="auto"/>
              <w:rPr>
                <w:rFonts w:eastAsia="Calibri" w:cs="Arial"/>
                <w:sz w:val="16"/>
                <w:szCs w:val="16"/>
              </w:rPr>
            </w:pPr>
            <w:r w:rsidRPr="00687C12">
              <w:rPr>
                <w:rFonts w:eastAsia="Calibri" w:cs="Arial"/>
                <w:sz w:val="16"/>
                <w:szCs w:val="16"/>
              </w:rPr>
              <w:t>Owner-occupiers</w:t>
            </w:r>
          </w:p>
        </w:tc>
        <w:tc>
          <w:tcPr>
            <w:tcW w:w="3685" w:type="dxa"/>
            <w:shd w:val="clear" w:color="auto" w:fill="auto"/>
          </w:tcPr>
          <w:p w14:paraId="730C367B" w14:textId="6816B805" w:rsidR="00687C12" w:rsidRDefault="005F143B" w:rsidP="00687C12">
            <w:pPr>
              <w:pStyle w:val="TableText"/>
              <w:spacing w:line="276" w:lineRule="auto"/>
              <w:rPr>
                <w:rFonts w:eastAsia="Calibri" w:cs="Arial"/>
                <w:sz w:val="16"/>
                <w:szCs w:val="16"/>
              </w:rPr>
            </w:pPr>
            <w:r w:rsidRPr="00687C12">
              <w:rPr>
                <w:rFonts w:eastAsia="Calibri" w:cs="Arial"/>
                <w:sz w:val="16"/>
                <w:szCs w:val="16"/>
              </w:rPr>
              <w:t>Negative gearing restrictions could help</w:t>
            </w:r>
            <w:r w:rsidR="0097173F">
              <w:rPr>
                <w:rFonts w:eastAsia="Calibri" w:cs="Arial"/>
                <w:sz w:val="16"/>
                <w:szCs w:val="16"/>
              </w:rPr>
              <w:t xml:space="preserve"> improve</w:t>
            </w:r>
            <w:r w:rsidRPr="00687C12">
              <w:rPr>
                <w:rFonts w:eastAsia="Calibri" w:cs="Arial"/>
                <w:sz w:val="16"/>
                <w:szCs w:val="16"/>
              </w:rPr>
              <w:t xml:space="preserve"> first home buyers</w:t>
            </w:r>
            <w:r w:rsidR="0097173F">
              <w:rPr>
                <w:rFonts w:eastAsia="Calibri" w:cs="Arial"/>
                <w:sz w:val="16"/>
                <w:szCs w:val="16"/>
              </w:rPr>
              <w:t>’ ability to compete with</w:t>
            </w:r>
            <w:r w:rsidRPr="00687C12">
              <w:rPr>
                <w:rFonts w:eastAsia="Calibri" w:cs="Arial"/>
                <w:sz w:val="16"/>
                <w:szCs w:val="16"/>
              </w:rPr>
              <w:t xml:space="preserve"> investors</w:t>
            </w:r>
            <w:r w:rsidR="00687C12">
              <w:rPr>
                <w:rFonts w:eastAsia="Calibri" w:cs="Arial"/>
                <w:sz w:val="16"/>
                <w:szCs w:val="16"/>
              </w:rPr>
              <w:t>, improving housing affordability for home buyers, and increasing the share of New Zealanders who own their own homes.</w:t>
            </w:r>
          </w:p>
          <w:p w14:paraId="3692FA9B" w14:textId="77777777" w:rsidR="007D59F2" w:rsidRPr="00687C12" w:rsidRDefault="005F143B" w:rsidP="00687C12">
            <w:pPr>
              <w:pStyle w:val="TableText"/>
              <w:spacing w:line="276" w:lineRule="auto"/>
              <w:rPr>
                <w:rFonts w:eastAsia="Calibri" w:cs="Arial"/>
                <w:sz w:val="16"/>
                <w:szCs w:val="16"/>
              </w:rPr>
            </w:pPr>
            <w:r w:rsidRPr="00687C12">
              <w:rPr>
                <w:rFonts w:eastAsia="Calibri" w:cs="Arial"/>
                <w:sz w:val="16"/>
                <w:szCs w:val="16"/>
              </w:rPr>
              <w:t>Residential property investors who negatively gear properties will face higher tax liabilities under the proposal.  This will weaken the business case for their residential property investments, and constrain investor cash flows, both of which will lead to reduced demand for residential property by those investors.  All else being equal, this should improve affordability (ie, reduced house prices) for first home buyers.</w:t>
            </w:r>
          </w:p>
        </w:tc>
        <w:tc>
          <w:tcPr>
            <w:tcW w:w="2127" w:type="dxa"/>
            <w:shd w:val="clear" w:color="auto" w:fill="auto"/>
          </w:tcPr>
          <w:p w14:paraId="3FA4D1C4" w14:textId="77777777" w:rsidR="007D59F2" w:rsidRPr="00687C12" w:rsidRDefault="00687C12" w:rsidP="00687C12">
            <w:pPr>
              <w:pStyle w:val="TableText"/>
              <w:spacing w:line="276" w:lineRule="auto"/>
              <w:jc w:val="right"/>
              <w:rPr>
                <w:rFonts w:eastAsia="Calibri" w:cs="Arial"/>
                <w:sz w:val="16"/>
                <w:szCs w:val="16"/>
              </w:rPr>
            </w:pPr>
            <w:r>
              <w:rPr>
                <w:rFonts w:eastAsia="Calibri" w:cs="Arial"/>
                <w:sz w:val="16"/>
                <w:szCs w:val="16"/>
              </w:rPr>
              <w:t>Medium</w:t>
            </w:r>
          </w:p>
        </w:tc>
        <w:tc>
          <w:tcPr>
            <w:tcW w:w="1277" w:type="dxa"/>
            <w:shd w:val="clear" w:color="auto" w:fill="auto"/>
          </w:tcPr>
          <w:p w14:paraId="311034A8" w14:textId="77777777" w:rsidR="007D59F2" w:rsidRPr="00687C12" w:rsidRDefault="00687C12" w:rsidP="00687C12">
            <w:pPr>
              <w:pStyle w:val="TableText"/>
              <w:spacing w:line="276" w:lineRule="auto"/>
              <w:jc w:val="right"/>
              <w:rPr>
                <w:rFonts w:eastAsia="Calibri" w:cs="Arial"/>
                <w:sz w:val="16"/>
                <w:szCs w:val="16"/>
              </w:rPr>
            </w:pPr>
            <w:r>
              <w:rPr>
                <w:rFonts w:eastAsia="Calibri" w:cs="Arial"/>
                <w:sz w:val="16"/>
                <w:szCs w:val="16"/>
              </w:rPr>
              <w:t>Low</w:t>
            </w:r>
          </w:p>
        </w:tc>
      </w:tr>
      <w:tr w:rsidR="007D59F2" w:rsidRPr="0049467D" w14:paraId="5DD50D70" w14:textId="77777777" w:rsidTr="0049467D">
        <w:trPr>
          <w:trHeight w:val="253"/>
        </w:trPr>
        <w:tc>
          <w:tcPr>
            <w:tcW w:w="1982" w:type="dxa"/>
            <w:shd w:val="clear" w:color="auto" w:fill="auto"/>
          </w:tcPr>
          <w:p w14:paraId="60703330" w14:textId="4E9A469F" w:rsidR="007D59F2" w:rsidRPr="00687C12" w:rsidRDefault="007D59F2" w:rsidP="007D59F2">
            <w:pPr>
              <w:pStyle w:val="TableText"/>
              <w:spacing w:line="276" w:lineRule="auto"/>
              <w:rPr>
                <w:rFonts w:eastAsia="Calibri" w:cs="Arial"/>
                <w:sz w:val="16"/>
                <w:szCs w:val="16"/>
              </w:rPr>
            </w:pPr>
            <w:r w:rsidRPr="00687C12">
              <w:rPr>
                <w:rFonts w:eastAsia="Calibri" w:cs="Arial"/>
                <w:sz w:val="16"/>
                <w:szCs w:val="16"/>
              </w:rPr>
              <w:t>Renters</w:t>
            </w:r>
          </w:p>
        </w:tc>
        <w:tc>
          <w:tcPr>
            <w:tcW w:w="3685" w:type="dxa"/>
            <w:shd w:val="clear" w:color="auto" w:fill="auto"/>
          </w:tcPr>
          <w:p w14:paraId="4B68A95B" w14:textId="0040B909" w:rsidR="007D59F2" w:rsidRPr="00687C12" w:rsidRDefault="00687C12" w:rsidP="00F10F9E">
            <w:pPr>
              <w:pStyle w:val="TableText"/>
              <w:spacing w:line="276" w:lineRule="auto"/>
              <w:rPr>
                <w:rFonts w:eastAsia="Calibri" w:cs="Arial"/>
                <w:sz w:val="16"/>
                <w:szCs w:val="16"/>
              </w:rPr>
            </w:pPr>
            <w:r>
              <w:rPr>
                <w:rFonts w:eastAsia="Calibri" w:cs="Arial"/>
                <w:sz w:val="16"/>
                <w:szCs w:val="16"/>
              </w:rPr>
              <w:t>Lower house prices could put downwards pressure on rents, potentially offsetting the pressures on the rental market noted in “</w:t>
            </w:r>
            <w:r w:rsidR="00F10F9E">
              <w:rPr>
                <w:rFonts w:eastAsia="Calibri" w:cs="Arial"/>
                <w:sz w:val="16"/>
                <w:szCs w:val="16"/>
              </w:rPr>
              <w:t>Additional</w:t>
            </w:r>
            <w:r>
              <w:rPr>
                <w:rFonts w:eastAsia="Calibri" w:cs="Arial"/>
                <w:sz w:val="16"/>
                <w:szCs w:val="16"/>
              </w:rPr>
              <w:t xml:space="preserve"> costs” section above.</w:t>
            </w:r>
          </w:p>
        </w:tc>
        <w:tc>
          <w:tcPr>
            <w:tcW w:w="2127" w:type="dxa"/>
            <w:shd w:val="clear" w:color="auto" w:fill="auto"/>
          </w:tcPr>
          <w:p w14:paraId="0935D7A3" w14:textId="77777777" w:rsidR="007D59F2" w:rsidRPr="00687C12" w:rsidRDefault="00687C12" w:rsidP="00687C12">
            <w:pPr>
              <w:pStyle w:val="TableText"/>
              <w:spacing w:line="276" w:lineRule="auto"/>
              <w:jc w:val="right"/>
              <w:rPr>
                <w:rFonts w:eastAsia="Calibri" w:cs="Arial"/>
                <w:sz w:val="16"/>
                <w:szCs w:val="16"/>
              </w:rPr>
            </w:pPr>
            <w:r>
              <w:rPr>
                <w:rFonts w:eastAsia="Calibri" w:cs="Arial"/>
                <w:sz w:val="16"/>
                <w:szCs w:val="16"/>
              </w:rPr>
              <w:t>Low</w:t>
            </w:r>
          </w:p>
        </w:tc>
        <w:tc>
          <w:tcPr>
            <w:tcW w:w="1277" w:type="dxa"/>
            <w:shd w:val="clear" w:color="auto" w:fill="auto"/>
          </w:tcPr>
          <w:p w14:paraId="719E37F1" w14:textId="77777777" w:rsidR="007D59F2" w:rsidRPr="00687C12" w:rsidRDefault="00687C12" w:rsidP="00687C12">
            <w:pPr>
              <w:pStyle w:val="TableText"/>
              <w:spacing w:line="276" w:lineRule="auto"/>
              <w:jc w:val="right"/>
              <w:rPr>
                <w:rFonts w:eastAsia="Calibri" w:cs="Arial"/>
                <w:sz w:val="16"/>
                <w:szCs w:val="16"/>
              </w:rPr>
            </w:pPr>
            <w:r>
              <w:rPr>
                <w:rFonts w:eastAsia="Calibri" w:cs="Arial"/>
                <w:sz w:val="16"/>
                <w:szCs w:val="16"/>
              </w:rPr>
              <w:t>Low</w:t>
            </w:r>
          </w:p>
        </w:tc>
      </w:tr>
      <w:tr w:rsidR="00687C12" w:rsidRPr="0049467D" w14:paraId="6412F37C" w14:textId="77777777" w:rsidTr="0049467D">
        <w:trPr>
          <w:trHeight w:val="253"/>
        </w:trPr>
        <w:tc>
          <w:tcPr>
            <w:tcW w:w="1982" w:type="dxa"/>
            <w:shd w:val="clear" w:color="auto" w:fill="auto"/>
          </w:tcPr>
          <w:p w14:paraId="08C6EBC6" w14:textId="334CBE14" w:rsidR="00687C12" w:rsidRPr="00687C12" w:rsidRDefault="005F7FB6" w:rsidP="007D59F2">
            <w:pPr>
              <w:pStyle w:val="TableText"/>
              <w:spacing w:line="276" w:lineRule="auto"/>
              <w:rPr>
                <w:rFonts w:eastAsia="Calibri" w:cs="Arial"/>
                <w:sz w:val="16"/>
                <w:szCs w:val="16"/>
              </w:rPr>
            </w:pPr>
            <w:r>
              <w:rPr>
                <w:rFonts w:eastAsia="Calibri" w:cs="Arial"/>
                <w:sz w:val="16"/>
                <w:szCs w:val="16"/>
              </w:rPr>
              <w:t>Wider g</w:t>
            </w:r>
            <w:r w:rsidR="00687C12">
              <w:rPr>
                <w:rFonts w:eastAsia="Calibri" w:cs="Arial"/>
                <w:sz w:val="16"/>
                <w:szCs w:val="16"/>
              </w:rPr>
              <w:t>overnment</w:t>
            </w:r>
          </w:p>
        </w:tc>
        <w:tc>
          <w:tcPr>
            <w:tcW w:w="3685" w:type="dxa"/>
            <w:shd w:val="clear" w:color="auto" w:fill="auto"/>
          </w:tcPr>
          <w:p w14:paraId="524FC4D9" w14:textId="77777777" w:rsidR="00687C12" w:rsidRPr="00687C12" w:rsidRDefault="00A9349A" w:rsidP="00A9349A">
            <w:pPr>
              <w:pStyle w:val="TableText"/>
              <w:spacing w:line="276" w:lineRule="auto"/>
              <w:rPr>
                <w:rFonts w:eastAsia="Calibri" w:cs="Arial"/>
                <w:sz w:val="16"/>
                <w:szCs w:val="16"/>
              </w:rPr>
            </w:pPr>
            <w:r>
              <w:rPr>
                <w:rFonts w:eastAsia="Calibri" w:cs="Arial"/>
                <w:sz w:val="16"/>
                <w:szCs w:val="16"/>
              </w:rPr>
              <w:t>Ring-fencing rental losses will prevent investors from offsetting their non-property earnings with rental losses, thereby increasing tax revenues.</w:t>
            </w:r>
          </w:p>
        </w:tc>
        <w:tc>
          <w:tcPr>
            <w:tcW w:w="2127" w:type="dxa"/>
            <w:shd w:val="clear" w:color="auto" w:fill="auto"/>
          </w:tcPr>
          <w:p w14:paraId="5FE25132" w14:textId="77777777" w:rsidR="00B4748C" w:rsidRPr="00B4748C" w:rsidRDefault="00B4748C" w:rsidP="00B4748C">
            <w:pPr>
              <w:pStyle w:val="TableText"/>
              <w:keepNext/>
              <w:spacing w:line="276" w:lineRule="auto"/>
              <w:jc w:val="right"/>
              <w:rPr>
                <w:rFonts w:eastAsia="Calibri" w:cs="Arial"/>
                <w:sz w:val="16"/>
                <w:szCs w:val="16"/>
              </w:rPr>
            </w:pPr>
            <w:r w:rsidRPr="00B4748C">
              <w:rPr>
                <w:rFonts w:eastAsia="Calibri" w:cs="Arial"/>
                <w:sz w:val="16"/>
                <w:szCs w:val="16"/>
              </w:rPr>
              <w:t>$</w:t>
            </w:r>
            <w:r>
              <w:rPr>
                <w:rFonts w:eastAsia="Calibri" w:cs="Arial"/>
                <w:sz w:val="16"/>
                <w:szCs w:val="16"/>
              </w:rPr>
              <w:t>570</w:t>
            </w:r>
            <w:r w:rsidRPr="00B4748C">
              <w:rPr>
                <w:rFonts w:eastAsia="Calibri" w:cs="Arial"/>
                <w:sz w:val="16"/>
                <w:szCs w:val="16"/>
              </w:rPr>
              <w:t>m total over 5-year forecast period (not discounted), assuming full application from 2019-20 income year.</w:t>
            </w:r>
          </w:p>
          <w:p w14:paraId="79436720" w14:textId="45D9D3B2" w:rsidR="005F7FB6" w:rsidRPr="002C305B" w:rsidRDefault="00B4748C" w:rsidP="00712EC7">
            <w:pPr>
              <w:pStyle w:val="TableText"/>
              <w:spacing w:line="276" w:lineRule="auto"/>
              <w:jc w:val="right"/>
              <w:rPr>
                <w:rFonts w:eastAsia="Calibri" w:cs="Arial"/>
                <w:sz w:val="16"/>
                <w:szCs w:val="16"/>
                <w:highlight w:val="red"/>
              </w:rPr>
            </w:pPr>
            <w:r w:rsidRPr="00B4748C">
              <w:rPr>
                <w:rFonts w:eastAsia="Calibri" w:cs="Arial"/>
                <w:sz w:val="16"/>
                <w:szCs w:val="16"/>
              </w:rPr>
              <w:t>And then $190m/yr ongoing.</w:t>
            </w:r>
          </w:p>
        </w:tc>
        <w:tc>
          <w:tcPr>
            <w:tcW w:w="1277" w:type="dxa"/>
            <w:shd w:val="clear" w:color="auto" w:fill="auto"/>
          </w:tcPr>
          <w:p w14:paraId="29D82512" w14:textId="2CB686B6" w:rsidR="00687C12" w:rsidRPr="00687C12" w:rsidRDefault="00AC1448" w:rsidP="005F7FB6">
            <w:pPr>
              <w:pStyle w:val="TableText"/>
              <w:spacing w:line="276" w:lineRule="auto"/>
              <w:jc w:val="right"/>
              <w:rPr>
                <w:rFonts w:eastAsia="Calibri" w:cs="Arial"/>
                <w:sz w:val="16"/>
                <w:szCs w:val="16"/>
              </w:rPr>
            </w:pPr>
            <w:r>
              <w:rPr>
                <w:rFonts w:eastAsia="Calibri" w:cs="Arial"/>
                <w:sz w:val="16"/>
                <w:szCs w:val="16"/>
              </w:rPr>
              <w:t>High</w:t>
            </w:r>
          </w:p>
        </w:tc>
      </w:tr>
      <w:tr w:rsidR="0049467D" w:rsidRPr="0049467D" w14:paraId="5BB0FAA0" w14:textId="77777777" w:rsidTr="0049467D">
        <w:trPr>
          <w:trHeight w:val="253"/>
        </w:trPr>
        <w:tc>
          <w:tcPr>
            <w:tcW w:w="1982" w:type="dxa"/>
            <w:shd w:val="clear" w:color="auto" w:fill="auto"/>
          </w:tcPr>
          <w:p w14:paraId="4613D4FB" w14:textId="047954B2" w:rsidR="0062657E" w:rsidRPr="00687C12" w:rsidRDefault="0062657E" w:rsidP="007B090A">
            <w:pPr>
              <w:pStyle w:val="TableText"/>
              <w:spacing w:line="276" w:lineRule="auto"/>
              <w:rPr>
                <w:rFonts w:eastAsia="Calibri" w:cs="Arial"/>
                <w:b/>
                <w:sz w:val="16"/>
                <w:szCs w:val="16"/>
              </w:rPr>
            </w:pPr>
            <w:r w:rsidRPr="00687C12">
              <w:rPr>
                <w:rFonts w:eastAsia="Calibri" w:cs="Arial"/>
                <w:b/>
                <w:sz w:val="16"/>
                <w:szCs w:val="16"/>
              </w:rPr>
              <w:t xml:space="preserve">Total Monetised  </w:t>
            </w:r>
            <w:r w:rsidRPr="00687C12">
              <w:rPr>
                <w:rFonts w:eastAsia="Calibri" w:cs="Arial"/>
                <w:b/>
                <w:sz w:val="16"/>
                <w:szCs w:val="16"/>
              </w:rPr>
              <w:lastRenderedPageBreak/>
              <w:t>Benefit</w:t>
            </w:r>
          </w:p>
        </w:tc>
        <w:tc>
          <w:tcPr>
            <w:tcW w:w="3685" w:type="dxa"/>
            <w:shd w:val="clear" w:color="auto" w:fill="auto"/>
          </w:tcPr>
          <w:p w14:paraId="01DE8178" w14:textId="77777777" w:rsidR="0062657E" w:rsidRPr="00687C12" w:rsidRDefault="0062657E" w:rsidP="007B090A">
            <w:pPr>
              <w:pStyle w:val="TableText"/>
              <w:spacing w:line="276" w:lineRule="auto"/>
              <w:rPr>
                <w:rFonts w:eastAsia="Calibri" w:cs="Arial"/>
                <w:sz w:val="16"/>
                <w:szCs w:val="16"/>
              </w:rPr>
            </w:pPr>
          </w:p>
        </w:tc>
        <w:tc>
          <w:tcPr>
            <w:tcW w:w="2127" w:type="dxa"/>
            <w:shd w:val="clear" w:color="auto" w:fill="auto"/>
          </w:tcPr>
          <w:p w14:paraId="01782530" w14:textId="4FA45B66" w:rsidR="0062657E" w:rsidRPr="002C305B" w:rsidRDefault="00A9349A" w:rsidP="00B4748C">
            <w:pPr>
              <w:pStyle w:val="TableText"/>
              <w:keepNext/>
              <w:spacing w:line="276" w:lineRule="auto"/>
              <w:jc w:val="right"/>
              <w:rPr>
                <w:rFonts w:eastAsia="Calibri" w:cs="Arial"/>
                <w:sz w:val="16"/>
                <w:szCs w:val="16"/>
                <w:highlight w:val="red"/>
              </w:rPr>
            </w:pPr>
            <w:r w:rsidRPr="00B4748C">
              <w:rPr>
                <w:rFonts w:eastAsia="Calibri" w:cs="Arial"/>
                <w:sz w:val="16"/>
                <w:szCs w:val="16"/>
              </w:rPr>
              <w:t>$</w:t>
            </w:r>
            <w:r w:rsidR="00B4748C" w:rsidRPr="00B4748C">
              <w:rPr>
                <w:rFonts w:eastAsia="Calibri" w:cs="Arial"/>
                <w:sz w:val="16"/>
                <w:szCs w:val="16"/>
              </w:rPr>
              <w:t>570</w:t>
            </w:r>
            <w:r w:rsidRPr="00B4748C">
              <w:rPr>
                <w:rFonts w:eastAsia="Calibri" w:cs="Arial"/>
                <w:sz w:val="16"/>
                <w:szCs w:val="16"/>
              </w:rPr>
              <w:t>m</w:t>
            </w:r>
            <w:r w:rsidR="005F7FB6" w:rsidRPr="00B4748C">
              <w:rPr>
                <w:rFonts w:eastAsia="Calibri" w:cs="Arial"/>
                <w:sz w:val="16"/>
                <w:szCs w:val="16"/>
              </w:rPr>
              <w:t xml:space="preserve"> </w:t>
            </w:r>
            <w:r w:rsidRPr="00B4748C">
              <w:rPr>
                <w:rFonts w:eastAsia="Calibri" w:cs="Arial"/>
                <w:sz w:val="16"/>
                <w:szCs w:val="16"/>
              </w:rPr>
              <w:t xml:space="preserve">over 5 year </w:t>
            </w:r>
            <w:r w:rsidRPr="00B4748C">
              <w:rPr>
                <w:rFonts w:eastAsia="Calibri" w:cs="Arial"/>
                <w:sz w:val="16"/>
                <w:szCs w:val="16"/>
              </w:rPr>
              <w:lastRenderedPageBreak/>
              <w:t>forecasting period</w:t>
            </w:r>
            <w:r w:rsidR="005F7FB6" w:rsidRPr="00B4748C">
              <w:rPr>
                <w:rFonts w:eastAsia="Calibri" w:cs="Arial"/>
                <w:sz w:val="16"/>
                <w:szCs w:val="16"/>
              </w:rPr>
              <w:t xml:space="preserve"> (</w:t>
            </w:r>
            <w:r w:rsidRPr="00B4748C">
              <w:rPr>
                <w:rFonts w:eastAsia="Calibri" w:cs="Arial"/>
                <w:sz w:val="16"/>
                <w:szCs w:val="16"/>
              </w:rPr>
              <w:t>not discounted)</w:t>
            </w:r>
          </w:p>
        </w:tc>
        <w:tc>
          <w:tcPr>
            <w:tcW w:w="1277" w:type="dxa"/>
            <w:shd w:val="clear" w:color="auto" w:fill="auto"/>
          </w:tcPr>
          <w:p w14:paraId="79375B28" w14:textId="43267144" w:rsidR="0062657E" w:rsidRPr="00687C12" w:rsidRDefault="00AC1448" w:rsidP="005F7FB6">
            <w:pPr>
              <w:pStyle w:val="TableText"/>
              <w:spacing w:line="276" w:lineRule="auto"/>
              <w:jc w:val="right"/>
              <w:rPr>
                <w:rFonts w:eastAsia="Calibri" w:cs="Arial"/>
                <w:sz w:val="16"/>
                <w:szCs w:val="16"/>
              </w:rPr>
            </w:pPr>
            <w:r>
              <w:rPr>
                <w:rFonts w:eastAsia="Calibri" w:cs="Arial"/>
                <w:sz w:val="16"/>
                <w:szCs w:val="16"/>
              </w:rPr>
              <w:lastRenderedPageBreak/>
              <w:t>High</w:t>
            </w:r>
          </w:p>
        </w:tc>
      </w:tr>
      <w:tr w:rsidR="0049467D" w:rsidRPr="0049467D" w14:paraId="3708A5BC" w14:textId="77777777" w:rsidTr="0049467D">
        <w:trPr>
          <w:trHeight w:val="253"/>
        </w:trPr>
        <w:tc>
          <w:tcPr>
            <w:tcW w:w="1982" w:type="dxa"/>
            <w:shd w:val="clear" w:color="auto" w:fill="auto"/>
          </w:tcPr>
          <w:p w14:paraId="2F8BC37D" w14:textId="77777777" w:rsidR="0062657E" w:rsidRPr="00687C12" w:rsidRDefault="0062657E" w:rsidP="007B090A">
            <w:pPr>
              <w:pStyle w:val="TableText"/>
              <w:spacing w:line="276" w:lineRule="auto"/>
              <w:rPr>
                <w:rFonts w:eastAsia="Calibri" w:cs="Arial"/>
                <w:b/>
                <w:sz w:val="16"/>
                <w:szCs w:val="16"/>
              </w:rPr>
            </w:pPr>
            <w:r w:rsidRPr="00687C12">
              <w:rPr>
                <w:rFonts w:eastAsia="Calibri" w:cs="Arial"/>
                <w:b/>
                <w:sz w:val="16"/>
                <w:szCs w:val="16"/>
              </w:rPr>
              <w:t>Non-monetised benefits</w:t>
            </w:r>
          </w:p>
        </w:tc>
        <w:tc>
          <w:tcPr>
            <w:tcW w:w="3685" w:type="dxa"/>
            <w:shd w:val="clear" w:color="auto" w:fill="auto"/>
          </w:tcPr>
          <w:p w14:paraId="1FD75373" w14:textId="77777777" w:rsidR="0062657E" w:rsidRPr="00687C12" w:rsidRDefault="0062657E" w:rsidP="007B090A">
            <w:pPr>
              <w:pStyle w:val="TableText"/>
              <w:spacing w:line="276" w:lineRule="auto"/>
              <w:rPr>
                <w:rFonts w:eastAsia="Calibri" w:cs="Arial"/>
                <w:sz w:val="16"/>
                <w:szCs w:val="16"/>
              </w:rPr>
            </w:pPr>
          </w:p>
        </w:tc>
        <w:tc>
          <w:tcPr>
            <w:tcW w:w="2127" w:type="dxa"/>
            <w:shd w:val="clear" w:color="auto" w:fill="auto"/>
          </w:tcPr>
          <w:p w14:paraId="22A92FBB" w14:textId="77777777" w:rsidR="0062657E" w:rsidRPr="00A9349A" w:rsidRDefault="00A9349A" w:rsidP="00A9349A">
            <w:pPr>
              <w:pStyle w:val="TableText"/>
              <w:spacing w:line="276" w:lineRule="auto"/>
              <w:jc w:val="right"/>
              <w:rPr>
                <w:rFonts w:eastAsia="Calibri" w:cs="Arial"/>
                <w:sz w:val="16"/>
                <w:szCs w:val="16"/>
              </w:rPr>
            </w:pPr>
            <w:r>
              <w:rPr>
                <w:rFonts w:eastAsia="Calibri" w:cs="Arial"/>
                <w:sz w:val="16"/>
                <w:szCs w:val="16"/>
              </w:rPr>
              <w:t>Medium</w:t>
            </w:r>
          </w:p>
        </w:tc>
        <w:tc>
          <w:tcPr>
            <w:tcW w:w="1277" w:type="dxa"/>
            <w:shd w:val="clear" w:color="auto" w:fill="auto"/>
          </w:tcPr>
          <w:p w14:paraId="4F98E150" w14:textId="29468890" w:rsidR="0062657E" w:rsidRPr="00687C12" w:rsidRDefault="00AC1448" w:rsidP="005F7FB6">
            <w:pPr>
              <w:pStyle w:val="TableText"/>
              <w:spacing w:line="276" w:lineRule="auto"/>
              <w:jc w:val="right"/>
              <w:rPr>
                <w:rFonts w:eastAsia="Calibri" w:cs="Arial"/>
                <w:sz w:val="16"/>
                <w:szCs w:val="16"/>
              </w:rPr>
            </w:pPr>
            <w:r>
              <w:rPr>
                <w:rFonts w:eastAsia="Calibri" w:cs="Arial"/>
                <w:sz w:val="16"/>
                <w:szCs w:val="16"/>
              </w:rPr>
              <w:t>Low</w:t>
            </w:r>
          </w:p>
        </w:tc>
      </w:tr>
    </w:tbl>
    <w:p w14:paraId="61CAF7CF" w14:textId="77777777" w:rsidR="0062657E" w:rsidRPr="0049467D" w:rsidRDefault="0062657E" w:rsidP="0049234F">
      <w:pPr>
        <w:pStyle w:val="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9467D" w:rsidRPr="0049467D" w14:paraId="693C275E" w14:textId="77777777" w:rsidTr="00B6693F">
        <w:trPr>
          <w:trHeight w:val="193"/>
        </w:trPr>
        <w:tc>
          <w:tcPr>
            <w:tcW w:w="5000" w:type="pct"/>
            <w:shd w:val="clear" w:color="auto" w:fill="99CDDD"/>
            <w:hideMark/>
          </w:tcPr>
          <w:p w14:paraId="4291AA39" w14:textId="77777777" w:rsidR="0062657E" w:rsidRPr="0049467D" w:rsidRDefault="0062657E" w:rsidP="00DF2E7B">
            <w:pPr>
              <w:pStyle w:val="spacer"/>
              <w:keepNext/>
              <w:spacing w:before="60" w:after="60"/>
              <w:rPr>
                <w:rFonts w:cs="Arial"/>
                <w:b/>
                <w:sz w:val="22"/>
                <w:lang w:val="en-NZ"/>
              </w:rPr>
            </w:pPr>
            <w:r w:rsidRPr="0049467D">
              <w:rPr>
                <w:rFonts w:cs="Arial"/>
                <w:b/>
                <w:sz w:val="22"/>
                <w:lang w:val="en-NZ"/>
              </w:rPr>
              <w:t>5.3   What other impacts is this approach likely to have?</w:t>
            </w:r>
          </w:p>
        </w:tc>
      </w:tr>
      <w:tr w:rsidR="0049467D" w:rsidRPr="0049467D" w14:paraId="0ED6106B" w14:textId="77777777" w:rsidTr="00EB0D54">
        <w:trPr>
          <w:trHeight w:val="2218"/>
        </w:trPr>
        <w:tc>
          <w:tcPr>
            <w:tcW w:w="5000" w:type="pct"/>
            <w:shd w:val="clear" w:color="auto" w:fill="FFFFFF"/>
          </w:tcPr>
          <w:p w14:paraId="3E5B5C0E" w14:textId="77777777" w:rsidR="0054209C" w:rsidRPr="00A241F1" w:rsidRDefault="0054209C" w:rsidP="00A241F1">
            <w:pPr>
              <w:pStyle w:val="TableText"/>
              <w:spacing w:before="240" w:after="240" w:line="276" w:lineRule="auto"/>
              <w:rPr>
                <w:rFonts w:cs="Arial"/>
                <w:sz w:val="22"/>
                <w:u w:val="single"/>
              </w:rPr>
            </w:pPr>
            <w:r w:rsidRPr="00A241F1">
              <w:rPr>
                <w:rFonts w:cs="Arial"/>
                <w:sz w:val="22"/>
                <w:u w:val="single"/>
              </w:rPr>
              <w:t>Uncertainty about housing market impacts</w:t>
            </w:r>
          </w:p>
          <w:p w14:paraId="440F023F" w14:textId="5076AF26" w:rsidR="0054209C" w:rsidRPr="00EB0D54" w:rsidRDefault="0054209C" w:rsidP="007D5EE8">
            <w:pPr>
              <w:pStyle w:val="TableText"/>
              <w:numPr>
                <w:ilvl w:val="0"/>
                <w:numId w:val="15"/>
              </w:numPr>
              <w:spacing w:before="240" w:after="240" w:line="276" w:lineRule="auto"/>
              <w:ind w:left="709" w:hanging="709"/>
              <w:rPr>
                <w:rFonts w:cs="Times New Roman"/>
                <w:szCs w:val="20"/>
              </w:rPr>
            </w:pPr>
            <w:r w:rsidRPr="00A241F1">
              <w:rPr>
                <w:rFonts w:cs="Arial"/>
                <w:sz w:val="22"/>
              </w:rPr>
              <w:t xml:space="preserve">There is significant uncertainty about the net impact of the policy on the housing market, especially on the rental market. </w:t>
            </w:r>
            <w:r w:rsidR="004D63CD">
              <w:rPr>
                <w:rFonts w:cs="Arial"/>
                <w:sz w:val="22"/>
              </w:rPr>
              <w:t xml:space="preserve"> </w:t>
            </w:r>
            <w:r w:rsidRPr="00A241F1">
              <w:rPr>
                <w:sz w:val="22"/>
              </w:rPr>
              <w:t>Overseas experience underlines the uncertainty in the direction and magnitude of housing market impacts.  For example, negative gearing was banned in Australia between 1985 and 1987, and while rents spiked in Sydney during this period, they were flat or falling across much of the rest of the country.  The exact relationship between the tax changes and observed changes in rent is unclear.</w:t>
            </w:r>
          </w:p>
        </w:tc>
      </w:tr>
    </w:tbl>
    <w:p w14:paraId="45409111" w14:textId="77777777" w:rsidR="0062657E" w:rsidRPr="0049234F" w:rsidRDefault="0062657E" w:rsidP="0049234F">
      <w:pPr>
        <w:pStyle w:val="space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80" w:firstRow="0" w:lastRow="0" w:firstColumn="1" w:lastColumn="0" w:noHBand="0" w:noVBand="1"/>
      </w:tblPr>
      <w:tblGrid>
        <w:gridCol w:w="9071"/>
      </w:tblGrid>
      <w:tr w:rsidR="0062657E" w:rsidRPr="000A2B04" w14:paraId="73DB82DD" w14:textId="77777777" w:rsidTr="00384E9B">
        <w:trPr>
          <w:trHeight w:val="520"/>
        </w:trPr>
        <w:tc>
          <w:tcPr>
            <w:tcW w:w="9071" w:type="dxa"/>
            <w:shd w:val="clear" w:color="auto" w:fill="99CDDD"/>
          </w:tcPr>
          <w:p w14:paraId="590A1BDB" w14:textId="77777777" w:rsidR="0062657E" w:rsidRPr="000A2B04" w:rsidRDefault="0062657E" w:rsidP="00DF2E7B">
            <w:pPr>
              <w:spacing w:before="60" w:after="60" w:line="240" w:lineRule="auto"/>
              <w:jc w:val="both"/>
              <w:rPr>
                <w:rFonts w:cs="Arial"/>
                <w:b/>
                <w:color w:val="002060"/>
                <w:lang w:eastAsia="en-AU"/>
              </w:rPr>
            </w:pPr>
            <w:r w:rsidRPr="006172F1">
              <w:rPr>
                <w:rFonts w:cs="Arial"/>
                <w:b/>
                <w:lang w:eastAsia="en-AU"/>
              </w:rPr>
              <w:t>5.4   Is the preferred option compatible with the Government’s ‘Expectations for the design of regulatory systems’?</w:t>
            </w:r>
          </w:p>
        </w:tc>
      </w:tr>
      <w:tr w:rsidR="0062657E" w:rsidRPr="0049467D" w14:paraId="097C8508" w14:textId="77777777" w:rsidTr="00A241F1">
        <w:trPr>
          <w:trHeight w:val="641"/>
        </w:trPr>
        <w:tc>
          <w:tcPr>
            <w:tcW w:w="9071" w:type="dxa"/>
            <w:shd w:val="clear" w:color="auto" w:fill="FFFFFF"/>
          </w:tcPr>
          <w:p w14:paraId="5D330610" w14:textId="05EB1FA7" w:rsidR="0062657E" w:rsidRPr="00AA2956" w:rsidRDefault="00EF1F78" w:rsidP="00AA2956">
            <w:pPr>
              <w:pStyle w:val="TableText"/>
              <w:numPr>
                <w:ilvl w:val="0"/>
                <w:numId w:val="16"/>
              </w:numPr>
              <w:spacing w:before="240" w:after="240" w:line="276" w:lineRule="auto"/>
              <w:ind w:hanging="715"/>
              <w:rPr>
                <w:rFonts w:cs="Arial"/>
                <w:sz w:val="22"/>
              </w:rPr>
            </w:pPr>
            <w:r w:rsidRPr="00AA2956">
              <w:rPr>
                <w:rFonts w:cs="Arial"/>
                <w:sz w:val="22"/>
              </w:rPr>
              <w:t>Yes</w:t>
            </w:r>
            <w:r w:rsidR="00F10F9E">
              <w:rPr>
                <w:rFonts w:cs="Arial"/>
                <w:sz w:val="22"/>
              </w:rPr>
              <w:t>.</w:t>
            </w:r>
          </w:p>
        </w:tc>
      </w:tr>
    </w:tbl>
    <w:p w14:paraId="090848FE" w14:textId="77777777" w:rsidR="0062657E" w:rsidRPr="0049467D" w:rsidRDefault="0062657E" w:rsidP="0049234F">
      <w:pPr>
        <w:pStyle w:val="spacer"/>
      </w:pPr>
      <w:r w:rsidRPr="0049467D">
        <w:br w:type="page"/>
      </w:r>
    </w:p>
    <w:p w14:paraId="1DE4FDE2" w14:textId="77777777" w:rsidR="0062657E" w:rsidRPr="0005691A" w:rsidRDefault="0062657E" w:rsidP="007B090A">
      <w:pPr>
        <w:tabs>
          <w:tab w:val="left" w:pos="2550"/>
        </w:tabs>
        <w:spacing w:after="120" w:line="276" w:lineRule="auto"/>
        <w:rPr>
          <w:rFonts w:cs="Arial"/>
          <w:b/>
          <w:color w:val="0082AB"/>
          <w:spacing w:val="20"/>
          <w:w w:val="90"/>
          <w:sz w:val="32"/>
          <w:szCs w:val="24"/>
        </w:rPr>
      </w:pPr>
      <w:r w:rsidRPr="0005691A">
        <w:rPr>
          <w:rFonts w:cs="Arial"/>
          <w:b/>
          <w:color w:val="0082AB"/>
          <w:spacing w:val="20"/>
          <w:w w:val="90"/>
          <w:sz w:val="32"/>
          <w:szCs w:val="24"/>
        </w:rPr>
        <w:lastRenderedPageBreak/>
        <w:t>Section 6:  Implementation and operation</w:t>
      </w: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14:paraId="336E802A" w14:textId="77777777" w:rsidTr="004A11FC">
        <w:trPr>
          <w:trHeight w:val="77"/>
        </w:trPr>
        <w:tc>
          <w:tcPr>
            <w:tcW w:w="9048" w:type="dxa"/>
            <w:shd w:val="clear" w:color="auto" w:fill="99CDDD"/>
          </w:tcPr>
          <w:p w14:paraId="74EC971F" w14:textId="77777777" w:rsidR="0062657E" w:rsidRPr="000A2B04" w:rsidRDefault="0062657E" w:rsidP="00DF2E7B">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6.1   How will the new arrangements work in practice?</w:t>
            </w:r>
          </w:p>
        </w:tc>
      </w:tr>
      <w:tr w:rsidR="0062657E" w:rsidRPr="0049467D" w14:paraId="5F0043B3" w14:textId="77777777" w:rsidTr="00A241F1">
        <w:trPr>
          <w:trHeight w:val="2173"/>
        </w:trPr>
        <w:tc>
          <w:tcPr>
            <w:tcW w:w="9048" w:type="dxa"/>
            <w:shd w:val="clear" w:color="auto" w:fill="auto"/>
          </w:tcPr>
          <w:p w14:paraId="4C2E22E9" w14:textId="65E66700" w:rsidR="007833D2" w:rsidRPr="00A241F1" w:rsidRDefault="007833D2" w:rsidP="00A241F1">
            <w:pPr>
              <w:pStyle w:val="TableText"/>
              <w:spacing w:before="240" w:after="240" w:line="276" w:lineRule="auto"/>
              <w:rPr>
                <w:rFonts w:cs="Arial"/>
                <w:sz w:val="22"/>
                <w:u w:val="single"/>
              </w:rPr>
            </w:pPr>
            <w:r w:rsidRPr="00A241F1">
              <w:rPr>
                <w:rFonts w:cs="Arial"/>
                <w:sz w:val="22"/>
                <w:u w:val="single"/>
              </w:rPr>
              <w:t xml:space="preserve">Legislative </w:t>
            </w:r>
            <w:r w:rsidR="0099132D">
              <w:rPr>
                <w:rFonts w:cs="Arial"/>
                <w:sz w:val="22"/>
                <w:u w:val="single"/>
              </w:rPr>
              <w:t>process</w:t>
            </w:r>
          </w:p>
          <w:p w14:paraId="20FE2800" w14:textId="46DA33B2" w:rsidR="00B63517" w:rsidRPr="00A241F1" w:rsidRDefault="00B63517" w:rsidP="00AA2956">
            <w:pPr>
              <w:pStyle w:val="TableText"/>
              <w:numPr>
                <w:ilvl w:val="0"/>
                <w:numId w:val="17"/>
              </w:numPr>
              <w:spacing w:before="240" w:after="240" w:line="276" w:lineRule="auto"/>
              <w:ind w:hanging="715"/>
              <w:rPr>
                <w:rFonts w:cs="Arial"/>
                <w:sz w:val="22"/>
              </w:rPr>
            </w:pPr>
            <w:r w:rsidRPr="00A241F1">
              <w:rPr>
                <w:rFonts w:cs="Arial"/>
                <w:sz w:val="22"/>
              </w:rPr>
              <w:t xml:space="preserve">Following consultation and </w:t>
            </w:r>
            <w:r w:rsidR="0099132D">
              <w:rPr>
                <w:rFonts w:cs="Arial"/>
                <w:sz w:val="22"/>
              </w:rPr>
              <w:t>final decisions on the design of</w:t>
            </w:r>
            <w:r w:rsidRPr="00A241F1">
              <w:rPr>
                <w:rFonts w:cs="Arial"/>
                <w:sz w:val="22"/>
              </w:rPr>
              <w:t xml:space="preserve"> the proposed rules, primary legislation will be prepared to give effect to loss ring-fencing.</w:t>
            </w:r>
          </w:p>
          <w:p w14:paraId="1DA50A55" w14:textId="472081DC" w:rsidR="0099132D" w:rsidRDefault="00B63517" w:rsidP="00AA2956">
            <w:pPr>
              <w:pStyle w:val="TableText"/>
              <w:numPr>
                <w:ilvl w:val="0"/>
                <w:numId w:val="17"/>
              </w:numPr>
              <w:spacing w:before="240" w:after="240" w:line="276" w:lineRule="auto"/>
              <w:ind w:hanging="715"/>
              <w:rPr>
                <w:sz w:val="22"/>
              </w:rPr>
            </w:pPr>
            <w:r w:rsidRPr="0099132D">
              <w:rPr>
                <w:rFonts w:cs="Arial"/>
                <w:sz w:val="22"/>
              </w:rPr>
              <w:t>It is currently anticipated that loss ring-fencing rules will take effect f</w:t>
            </w:r>
            <w:r w:rsidR="0099132D" w:rsidRPr="0099132D">
              <w:rPr>
                <w:rFonts w:cs="Arial"/>
                <w:sz w:val="22"/>
              </w:rPr>
              <w:t>rom</w:t>
            </w:r>
            <w:r w:rsidRPr="0099132D">
              <w:rPr>
                <w:rFonts w:cs="Arial"/>
                <w:sz w:val="22"/>
              </w:rPr>
              <w:t xml:space="preserve"> the 2019-20 </w:t>
            </w:r>
            <w:r w:rsidR="0099132D" w:rsidRPr="0099132D">
              <w:rPr>
                <w:rFonts w:cs="Arial"/>
                <w:sz w:val="22"/>
              </w:rPr>
              <w:t>income</w:t>
            </w:r>
            <w:r w:rsidRPr="0099132D">
              <w:rPr>
                <w:rFonts w:cs="Arial"/>
                <w:sz w:val="22"/>
              </w:rPr>
              <w:t xml:space="preserve"> year.</w:t>
            </w:r>
            <w:r w:rsidR="0099132D" w:rsidRPr="0099132D">
              <w:rPr>
                <w:rFonts w:cs="Arial"/>
                <w:sz w:val="22"/>
              </w:rPr>
              <w:t xml:space="preserve">  It is planned that </w:t>
            </w:r>
            <w:r w:rsidR="0099132D" w:rsidRPr="0099132D">
              <w:rPr>
                <w:sz w:val="22"/>
              </w:rPr>
              <w:t>legislation will be introduced before the start</w:t>
            </w:r>
            <w:r w:rsidR="0099132D" w:rsidRPr="0099132D">
              <w:rPr>
                <w:rStyle w:val="FootnoteReference"/>
                <w:szCs w:val="16"/>
              </w:rPr>
              <w:footnoteReference w:id="10"/>
            </w:r>
            <w:r w:rsidR="0099132D" w:rsidRPr="0099132D">
              <w:rPr>
                <w:sz w:val="22"/>
              </w:rPr>
              <w:t xml:space="preserve"> of the income year the rules will apply from (</w:t>
            </w:r>
            <w:r w:rsidR="0079669D">
              <w:rPr>
                <w:sz w:val="22"/>
              </w:rPr>
              <w:t xml:space="preserve">the </w:t>
            </w:r>
            <w:r w:rsidR="0099132D" w:rsidRPr="0099132D">
              <w:rPr>
                <w:sz w:val="22"/>
              </w:rPr>
              <w:t>2019-20</w:t>
            </w:r>
            <w:r w:rsidR="0079669D">
              <w:rPr>
                <w:sz w:val="22"/>
              </w:rPr>
              <w:t xml:space="preserve"> income year</w:t>
            </w:r>
            <w:r w:rsidR="0099132D" w:rsidRPr="0099132D">
              <w:rPr>
                <w:sz w:val="22"/>
              </w:rPr>
              <w:t>) – giving most taxpayers a degree of certainty about how the rules will operate.</w:t>
            </w:r>
          </w:p>
          <w:p w14:paraId="342A040B" w14:textId="411B498E" w:rsidR="004F2DFB" w:rsidRPr="004F2DFB" w:rsidRDefault="004F2DFB" w:rsidP="00A241F1">
            <w:pPr>
              <w:pStyle w:val="TableText"/>
              <w:spacing w:before="240" w:after="240" w:line="276" w:lineRule="auto"/>
              <w:rPr>
                <w:sz w:val="22"/>
                <w:u w:val="single"/>
              </w:rPr>
            </w:pPr>
            <w:r>
              <w:rPr>
                <w:sz w:val="22"/>
                <w:u w:val="single"/>
              </w:rPr>
              <w:t>Implementation options</w:t>
            </w:r>
          </w:p>
          <w:p w14:paraId="56B8EBDB" w14:textId="57DD6955" w:rsidR="008F6E52" w:rsidRDefault="0099132D" w:rsidP="00AA2956">
            <w:pPr>
              <w:pStyle w:val="TableText"/>
              <w:numPr>
                <w:ilvl w:val="0"/>
                <w:numId w:val="17"/>
              </w:numPr>
              <w:spacing w:before="240" w:after="240" w:line="276" w:lineRule="auto"/>
              <w:ind w:hanging="715"/>
              <w:rPr>
                <w:sz w:val="22"/>
              </w:rPr>
            </w:pPr>
            <w:r w:rsidRPr="004F2DFB">
              <w:rPr>
                <w:sz w:val="22"/>
              </w:rPr>
              <w:t xml:space="preserve">The </w:t>
            </w:r>
            <w:r w:rsidRPr="00AA2956">
              <w:rPr>
                <w:rFonts w:cs="Arial"/>
                <w:sz w:val="22"/>
              </w:rPr>
              <w:t>rules</w:t>
            </w:r>
            <w:r w:rsidRPr="004F2DFB">
              <w:rPr>
                <w:sz w:val="22"/>
              </w:rPr>
              <w:t xml:space="preserve"> could either apply in full from the outset, or alternatively they could be phased in over three years</w:t>
            </w:r>
            <w:r w:rsidR="00B4748C">
              <w:rPr>
                <w:sz w:val="22"/>
              </w:rPr>
              <w:t xml:space="preserve"> (ie, a third of a taxpayer’s losses are ring-fenced in year one, then two-thirds of their losses in year two)</w:t>
            </w:r>
            <w:r w:rsidRPr="004F2DFB">
              <w:rPr>
                <w:sz w:val="22"/>
              </w:rPr>
              <w:t xml:space="preserve">.  </w:t>
            </w:r>
            <w:r w:rsidR="004F2DFB" w:rsidRPr="004F2DFB">
              <w:rPr>
                <w:sz w:val="22"/>
              </w:rPr>
              <w:t xml:space="preserve">Tax law changes are not usually phased in, but this possible approach has been suggested to allow affected investors more time to adjust to the new rules, or to rearrange their affairs before the rules apply in full.  However, we note that phased introduction of the rules would result in some additional complexity.  </w:t>
            </w:r>
          </w:p>
          <w:p w14:paraId="7210F93A" w14:textId="57FD8249" w:rsidR="002F0C8E" w:rsidRPr="00552A37" w:rsidRDefault="004F2DFB" w:rsidP="00AA2956">
            <w:pPr>
              <w:pStyle w:val="TableText"/>
              <w:numPr>
                <w:ilvl w:val="0"/>
                <w:numId w:val="17"/>
              </w:numPr>
              <w:spacing w:before="240" w:after="240" w:line="276" w:lineRule="auto"/>
              <w:ind w:hanging="715"/>
              <w:rPr>
                <w:sz w:val="22"/>
              </w:rPr>
            </w:pPr>
            <w:r w:rsidRPr="00552A37">
              <w:rPr>
                <w:sz w:val="22"/>
              </w:rPr>
              <w:t>The</w:t>
            </w:r>
            <w:r w:rsidR="00F10F9E" w:rsidRPr="00552A37">
              <w:rPr>
                <w:sz w:val="22"/>
              </w:rPr>
              <w:t xml:space="preserve"> </w:t>
            </w:r>
            <w:r w:rsidRPr="00552A37">
              <w:rPr>
                <w:sz w:val="22"/>
              </w:rPr>
              <w:t xml:space="preserve">officials’ </w:t>
            </w:r>
            <w:r w:rsidR="00950506" w:rsidRPr="00552A37">
              <w:rPr>
                <w:sz w:val="22"/>
              </w:rPr>
              <w:t>i</w:t>
            </w:r>
            <w:r w:rsidRPr="00552A37">
              <w:rPr>
                <w:sz w:val="22"/>
              </w:rPr>
              <w:t xml:space="preserve">ssues </w:t>
            </w:r>
            <w:r w:rsidR="00950506" w:rsidRPr="00552A37">
              <w:rPr>
                <w:sz w:val="22"/>
              </w:rPr>
              <w:t>p</w:t>
            </w:r>
            <w:r w:rsidRPr="00552A37">
              <w:rPr>
                <w:sz w:val="22"/>
              </w:rPr>
              <w:t xml:space="preserve">aper </w:t>
            </w:r>
            <w:r w:rsidR="008F6E52" w:rsidRPr="00552A37">
              <w:rPr>
                <w:sz w:val="22"/>
              </w:rPr>
              <w:t>sought</w:t>
            </w:r>
            <w:r w:rsidRPr="00552A37">
              <w:rPr>
                <w:sz w:val="22"/>
              </w:rPr>
              <w:t xml:space="preserve"> feedback on whether the rules should apply in full from the 2019-20 income year</w:t>
            </w:r>
            <w:r w:rsidR="003F19ED" w:rsidRPr="00552A37">
              <w:rPr>
                <w:sz w:val="22"/>
              </w:rPr>
              <w:t>,</w:t>
            </w:r>
            <w:r w:rsidRPr="00552A37">
              <w:rPr>
                <w:sz w:val="22"/>
              </w:rPr>
              <w:t xml:space="preserve"> or be phased in over two or three years.</w:t>
            </w:r>
            <w:r w:rsidR="008F6E52" w:rsidRPr="00552A37">
              <w:rPr>
                <w:sz w:val="22"/>
              </w:rPr>
              <w:t xml:space="preserve">  Submitters were </w:t>
            </w:r>
            <w:r w:rsidR="002F0C8E" w:rsidRPr="00552A37">
              <w:rPr>
                <w:sz w:val="22"/>
              </w:rPr>
              <w:t xml:space="preserve">strongly in favour of phasing the rules in over three years.  </w:t>
            </w:r>
          </w:p>
          <w:p w14:paraId="682C237F" w14:textId="77777777" w:rsidR="0065045F" w:rsidRPr="00552A37" w:rsidRDefault="002F0C8E" w:rsidP="00AA2956">
            <w:pPr>
              <w:pStyle w:val="TableText"/>
              <w:numPr>
                <w:ilvl w:val="0"/>
                <w:numId w:val="17"/>
              </w:numPr>
              <w:spacing w:before="240" w:after="240" w:line="276" w:lineRule="auto"/>
              <w:ind w:hanging="715"/>
              <w:rPr>
                <w:sz w:val="22"/>
              </w:rPr>
            </w:pPr>
            <w:r w:rsidRPr="00552A37">
              <w:rPr>
                <w:sz w:val="22"/>
              </w:rPr>
              <w:t>A number of submitters considered that existing rental properties should be grandparented, on the basis that such a fundamental change to the rules after investments have been made would be unfair.  Other submitters suggested that the rules should apply in full for properties acquired after an announced date, but phase</w:t>
            </w:r>
            <w:r w:rsidR="003F19ED" w:rsidRPr="00552A37">
              <w:rPr>
                <w:sz w:val="22"/>
              </w:rPr>
              <w:t xml:space="preserve">d </w:t>
            </w:r>
            <w:r w:rsidRPr="00552A37">
              <w:rPr>
                <w:sz w:val="22"/>
              </w:rPr>
              <w:t xml:space="preserve">in </w:t>
            </w:r>
            <w:r w:rsidR="003F19ED" w:rsidRPr="00552A37">
              <w:rPr>
                <w:sz w:val="22"/>
              </w:rPr>
              <w:t xml:space="preserve">for </w:t>
            </w:r>
            <w:r w:rsidRPr="00552A37">
              <w:rPr>
                <w:sz w:val="22"/>
              </w:rPr>
              <w:t>existing properties</w:t>
            </w:r>
            <w:r w:rsidR="003F19ED" w:rsidRPr="00552A37">
              <w:rPr>
                <w:sz w:val="22"/>
              </w:rPr>
              <w:t xml:space="preserve"> (or existing properties grandparented)</w:t>
            </w:r>
            <w:r w:rsidRPr="00552A37">
              <w:rPr>
                <w:sz w:val="22"/>
              </w:rPr>
              <w:t>.  Officials consider that th</w:t>
            </w:r>
            <w:r w:rsidR="00B06C53" w:rsidRPr="00552A37">
              <w:rPr>
                <w:sz w:val="22"/>
              </w:rPr>
              <w:t>ese suggestions would produce overly complex rules</w:t>
            </w:r>
            <w:r w:rsidR="003F19ED" w:rsidRPr="00552A37">
              <w:rPr>
                <w:sz w:val="22"/>
              </w:rPr>
              <w:t>,</w:t>
            </w:r>
            <w:r w:rsidR="00B06C53" w:rsidRPr="00552A37">
              <w:rPr>
                <w:sz w:val="22"/>
              </w:rPr>
              <w:t xml:space="preserve"> and recommend that the rules either apply in full from the outset, or </w:t>
            </w:r>
            <w:r w:rsidR="003F19ED" w:rsidRPr="00552A37">
              <w:rPr>
                <w:sz w:val="22"/>
              </w:rPr>
              <w:t xml:space="preserve">be </w:t>
            </w:r>
            <w:r w:rsidR="00B06C53" w:rsidRPr="00552A37">
              <w:rPr>
                <w:sz w:val="22"/>
              </w:rPr>
              <w:t>phased in for all properties over three years.</w:t>
            </w:r>
          </w:p>
          <w:p w14:paraId="15105D52" w14:textId="77777777" w:rsidR="002D0748" w:rsidRPr="00552A37" w:rsidRDefault="0065045F" w:rsidP="00400733">
            <w:pPr>
              <w:pStyle w:val="TableText"/>
              <w:numPr>
                <w:ilvl w:val="0"/>
                <w:numId w:val="17"/>
              </w:numPr>
              <w:spacing w:before="240" w:after="240" w:line="276" w:lineRule="auto"/>
              <w:ind w:hanging="715"/>
              <w:rPr>
                <w:sz w:val="22"/>
              </w:rPr>
            </w:pPr>
            <w:r w:rsidRPr="00552A37">
              <w:rPr>
                <w:sz w:val="22"/>
              </w:rPr>
              <w:t xml:space="preserve">On balance however, </w:t>
            </w:r>
            <w:r w:rsidR="00400733" w:rsidRPr="00552A37">
              <w:rPr>
                <w:sz w:val="22"/>
              </w:rPr>
              <w:t>Inland Revenue</w:t>
            </w:r>
            <w:r w:rsidRPr="00552A37">
              <w:rPr>
                <w:sz w:val="22"/>
              </w:rPr>
              <w:t xml:space="preserve"> consider</w:t>
            </w:r>
            <w:r w:rsidR="00400733" w:rsidRPr="00552A37">
              <w:rPr>
                <w:sz w:val="22"/>
              </w:rPr>
              <w:t>s</w:t>
            </w:r>
            <w:r w:rsidRPr="00552A37">
              <w:rPr>
                <w:sz w:val="22"/>
              </w:rPr>
              <w:t xml:space="preserve"> that phasing in the changes could potentially create a precedent-setting risk and there is a stronger argument to apply the rules in full from the 2019-20 income year for all properties.  </w:t>
            </w:r>
          </w:p>
          <w:p w14:paraId="1A96CDC1" w14:textId="67EAA5E6" w:rsidR="0065045F" w:rsidRPr="00552A37" w:rsidRDefault="0065045F" w:rsidP="00400733">
            <w:pPr>
              <w:pStyle w:val="TableText"/>
              <w:numPr>
                <w:ilvl w:val="0"/>
                <w:numId w:val="17"/>
              </w:numPr>
              <w:spacing w:before="240" w:after="240" w:line="276" w:lineRule="auto"/>
              <w:ind w:hanging="715"/>
              <w:rPr>
                <w:sz w:val="22"/>
              </w:rPr>
            </w:pPr>
            <w:r w:rsidRPr="00552A37">
              <w:rPr>
                <w:sz w:val="22"/>
              </w:rPr>
              <w:t>The Treasury prefers a split approach, with no phasing for new investments, and a three-year phase in for existing investments.</w:t>
            </w:r>
            <w:r w:rsidR="00970E56" w:rsidRPr="00552A37">
              <w:rPr>
                <w:sz w:val="22"/>
              </w:rPr>
              <w:t xml:space="preserve">  This is on the ba</w:t>
            </w:r>
            <w:r w:rsidR="00330AB4" w:rsidRPr="00552A37">
              <w:rPr>
                <w:sz w:val="22"/>
              </w:rPr>
              <w:t xml:space="preserve">sis that investments made after the ring-fencing rules have been introduced do not need time to adjust to the new rules, while acknowledging that some time may be necessary for existing investments.  </w:t>
            </w:r>
          </w:p>
          <w:p w14:paraId="2CDB921D" w14:textId="122A2460" w:rsidR="002D0748" w:rsidRPr="00552A37" w:rsidRDefault="00970E56" w:rsidP="00970E56">
            <w:pPr>
              <w:pStyle w:val="TableText"/>
              <w:numPr>
                <w:ilvl w:val="0"/>
                <w:numId w:val="17"/>
              </w:numPr>
              <w:spacing w:before="240" w:after="240" w:line="276" w:lineRule="auto"/>
              <w:ind w:hanging="715"/>
              <w:rPr>
                <w:sz w:val="24"/>
              </w:rPr>
            </w:pPr>
            <w:r w:rsidRPr="00552A37">
              <w:rPr>
                <w:sz w:val="22"/>
              </w:rPr>
              <w:t xml:space="preserve">The Ministry of Business, Innovation and Employment have expressed a </w:t>
            </w:r>
            <w:r w:rsidRPr="00552A37">
              <w:rPr>
                <w:sz w:val="22"/>
              </w:rPr>
              <w:lastRenderedPageBreak/>
              <w:t>preference for a phased introduction for both existing and new investments.  This is because if there are sales of some low quality rental properties in anticipation of the Healthy Homes Guarantee Act standards, as expected, a phased introduction of the loss ring-fencing rules could strengthen incentives for new owners to upgrade these rental properties quickly.</w:t>
            </w:r>
          </w:p>
          <w:p w14:paraId="31EBA14C" w14:textId="3797B1C2" w:rsidR="004F2DFB" w:rsidRPr="004F2DFB" w:rsidRDefault="004F2DFB" w:rsidP="00A241F1">
            <w:pPr>
              <w:pStyle w:val="TableText"/>
              <w:spacing w:before="240" w:after="240" w:line="276" w:lineRule="auto"/>
              <w:rPr>
                <w:sz w:val="22"/>
                <w:u w:val="single"/>
              </w:rPr>
            </w:pPr>
            <w:r>
              <w:rPr>
                <w:sz w:val="22"/>
                <w:u w:val="single"/>
              </w:rPr>
              <w:t>Responsibility for ongoing operation and enforcement</w:t>
            </w:r>
          </w:p>
          <w:p w14:paraId="19F037AD" w14:textId="727EF736" w:rsidR="004F2DFB" w:rsidRPr="004F2DFB" w:rsidRDefault="004F2DFB" w:rsidP="0065045F">
            <w:pPr>
              <w:pStyle w:val="TableText"/>
              <w:numPr>
                <w:ilvl w:val="0"/>
                <w:numId w:val="28"/>
              </w:numPr>
              <w:spacing w:before="240" w:after="240" w:line="276" w:lineRule="auto"/>
              <w:ind w:hanging="715"/>
              <w:rPr>
                <w:rFonts w:cs="Arial"/>
                <w:sz w:val="22"/>
              </w:rPr>
            </w:pPr>
            <w:r w:rsidRPr="004F2DFB">
              <w:rPr>
                <w:sz w:val="22"/>
              </w:rPr>
              <w:t xml:space="preserve">Once </w:t>
            </w:r>
            <w:r w:rsidRPr="00AA2956">
              <w:rPr>
                <w:rFonts w:cs="Arial"/>
                <w:sz w:val="22"/>
              </w:rPr>
              <w:t>implemented</w:t>
            </w:r>
            <w:r w:rsidRPr="004F2DFB">
              <w:rPr>
                <w:sz w:val="22"/>
              </w:rPr>
              <w:t>, Inland Revenue will be responsible for ongoing operation and enforcement of the new rules.</w:t>
            </w:r>
          </w:p>
          <w:p w14:paraId="31F85F1E" w14:textId="3756F295" w:rsidR="0099132D" w:rsidRDefault="0099132D" w:rsidP="00A241F1">
            <w:pPr>
              <w:pStyle w:val="TableText"/>
              <w:spacing w:before="240" w:after="240" w:line="276" w:lineRule="auto"/>
              <w:rPr>
                <w:rFonts w:cs="Arial"/>
                <w:sz w:val="22"/>
              </w:rPr>
            </w:pPr>
            <w:r>
              <w:rPr>
                <w:rFonts w:cs="Arial"/>
                <w:sz w:val="22"/>
                <w:u w:val="single"/>
              </w:rPr>
              <w:t>Communications</w:t>
            </w:r>
          </w:p>
          <w:p w14:paraId="4687B38F" w14:textId="48730A97" w:rsidR="0062657E" w:rsidRPr="004F2DFB" w:rsidRDefault="0099132D" w:rsidP="0065045F">
            <w:pPr>
              <w:pStyle w:val="TableText"/>
              <w:numPr>
                <w:ilvl w:val="0"/>
                <w:numId w:val="28"/>
              </w:numPr>
              <w:spacing w:before="240" w:after="240" w:line="276" w:lineRule="auto"/>
              <w:ind w:hanging="715"/>
              <w:rPr>
                <w:rFonts w:cs="Arial"/>
                <w:sz w:val="22"/>
              </w:rPr>
            </w:pPr>
            <w:r w:rsidRPr="0099132D">
              <w:rPr>
                <w:rFonts w:cs="Arial"/>
                <w:sz w:val="22"/>
                <w:lang w:val="en-NZ"/>
              </w:rPr>
              <w:t xml:space="preserve">When </w:t>
            </w:r>
            <w:r w:rsidRPr="0099132D">
              <w:rPr>
                <w:sz w:val="22"/>
                <w:lang w:val="en-US" w:bidi="en-US"/>
              </w:rPr>
              <w:t>introduced</w:t>
            </w:r>
            <w:r w:rsidRPr="0099132D">
              <w:rPr>
                <w:rFonts w:cs="Arial"/>
                <w:sz w:val="22"/>
                <w:lang w:val="en-NZ"/>
              </w:rPr>
              <w:t xml:space="preserve"> to Parliament, commentary would be released explaining the new rules, and further explanation of the effect would be contained in a </w:t>
            </w:r>
            <w:r w:rsidRPr="00F10F9E">
              <w:rPr>
                <w:rFonts w:cs="Arial"/>
                <w:i/>
                <w:sz w:val="22"/>
                <w:lang w:val="en-NZ"/>
              </w:rPr>
              <w:t>Tax Information Bulletin</w:t>
            </w:r>
            <w:r w:rsidRPr="0099132D">
              <w:rPr>
                <w:rFonts w:cs="Arial"/>
                <w:sz w:val="22"/>
                <w:lang w:val="en-NZ"/>
              </w:rPr>
              <w:t>, which would be released shortly after the bill receives Royal assent.</w:t>
            </w:r>
            <w:r w:rsidR="00AC1448">
              <w:rPr>
                <w:rFonts w:cs="Arial"/>
                <w:sz w:val="22"/>
                <w:lang w:val="en-NZ"/>
              </w:rPr>
              <w:t xml:space="preserve">  The information on Inland Revenue’s website, booklets, etc, would be updated to explain the new rules to property investors</w:t>
            </w:r>
            <w:r w:rsidR="002F1200">
              <w:rPr>
                <w:rFonts w:cs="Arial"/>
                <w:sz w:val="22"/>
                <w:lang w:val="en-NZ"/>
              </w:rPr>
              <w:t>.</w:t>
            </w:r>
          </w:p>
        </w:tc>
      </w:tr>
    </w:tbl>
    <w:p w14:paraId="5FB07EB4" w14:textId="34407293" w:rsidR="006D2AF3" w:rsidRDefault="006D2AF3"/>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62657E" w:rsidRPr="000A2B04" w14:paraId="6F1C3789" w14:textId="77777777" w:rsidTr="004A11FC">
        <w:trPr>
          <w:trHeight w:val="132"/>
        </w:trPr>
        <w:tc>
          <w:tcPr>
            <w:tcW w:w="9048" w:type="dxa"/>
            <w:shd w:val="clear" w:color="auto" w:fill="99CDDD"/>
          </w:tcPr>
          <w:p w14:paraId="213E53A9" w14:textId="263F2664" w:rsidR="0062657E" w:rsidRPr="000A2B04" w:rsidRDefault="0062657E" w:rsidP="00DF2E7B">
            <w:pPr>
              <w:spacing w:before="60" w:after="60" w:line="240" w:lineRule="auto"/>
              <w:jc w:val="both"/>
              <w:rPr>
                <w:rFonts w:cs="Arial"/>
                <w:b/>
                <w:color w:val="002060"/>
                <w:lang w:eastAsia="en-AU"/>
              </w:rPr>
            </w:pPr>
            <w:r w:rsidRPr="000A2B04">
              <w:rPr>
                <w:rFonts w:cs="Arial"/>
                <w:b/>
                <w:color w:val="002060"/>
                <w:lang w:eastAsia="en-AU"/>
              </w:rPr>
              <w:br w:type="page"/>
            </w:r>
            <w:r w:rsidRPr="006172F1">
              <w:rPr>
                <w:rFonts w:cs="Arial"/>
                <w:b/>
                <w:lang w:eastAsia="en-AU"/>
              </w:rPr>
              <w:t>6.2   What are the implementation risks?</w:t>
            </w:r>
          </w:p>
        </w:tc>
      </w:tr>
      <w:tr w:rsidR="0062657E" w:rsidRPr="0049467D" w14:paraId="2DA67514" w14:textId="77777777" w:rsidTr="00384E9B">
        <w:trPr>
          <w:trHeight w:val="3174"/>
        </w:trPr>
        <w:tc>
          <w:tcPr>
            <w:tcW w:w="9048" w:type="dxa"/>
            <w:shd w:val="clear" w:color="auto" w:fill="FFFFFF"/>
          </w:tcPr>
          <w:p w14:paraId="319E9F41" w14:textId="4A9E837D" w:rsidR="0062657E" w:rsidRDefault="004F2DFB" w:rsidP="000002FA">
            <w:pPr>
              <w:pStyle w:val="TableText"/>
              <w:numPr>
                <w:ilvl w:val="0"/>
                <w:numId w:val="24"/>
              </w:numPr>
              <w:spacing w:before="240" w:after="240" w:line="276" w:lineRule="auto"/>
              <w:ind w:hanging="715"/>
              <w:rPr>
                <w:rFonts w:cs="Arial"/>
                <w:sz w:val="22"/>
              </w:rPr>
            </w:pPr>
            <w:r w:rsidRPr="00AA2956">
              <w:rPr>
                <w:rFonts w:cs="Arial"/>
                <w:sz w:val="22"/>
              </w:rPr>
              <w:t>Inland</w:t>
            </w:r>
            <w:r w:rsidRPr="00D15ADE">
              <w:rPr>
                <w:sz w:val="22"/>
              </w:rPr>
              <w:t xml:space="preserve"> Revenue is currently delivering on its Business Transformation programme.  It is anticipated that implementation of ring-fencing of rental losses will occur in START, as the proposed commencement date of 2019-20 occurs after the go-live of START major </w:t>
            </w:r>
            <w:r w:rsidR="006B4791">
              <w:rPr>
                <w:sz w:val="22"/>
              </w:rPr>
              <w:t>r</w:t>
            </w:r>
            <w:r w:rsidRPr="00D15ADE">
              <w:rPr>
                <w:sz w:val="22"/>
              </w:rPr>
              <w:t>elease 3</w:t>
            </w:r>
            <w:r w:rsidR="000002FA">
              <w:rPr>
                <w:sz w:val="22"/>
              </w:rPr>
              <w:t xml:space="preserve"> scheduled for </w:t>
            </w:r>
            <w:r w:rsidR="00FC0C78">
              <w:rPr>
                <w:sz w:val="22"/>
              </w:rPr>
              <w:t>April 2019</w:t>
            </w:r>
            <w:r w:rsidRPr="00D15ADE">
              <w:rPr>
                <w:sz w:val="22"/>
              </w:rPr>
              <w:t xml:space="preserve">.  </w:t>
            </w:r>
            <w:r w:rsidRPr="00D15ADE">
              <w:rPr>
                <w:rFonts w:cs="Arial"/>
                <w:sz w:val="22"/>
              </w:rPr>
              <w:t>Implementation of the proposed rules will mean change</w:t>
            </w:r>
            <w:r w:rsidR="00AB3974">
              <w:rPr>
                <w:rFonts w:cs="Arial"/>
                <w:sz w:val="22"/>
              </w:rPr>
              <w:t>s</w:t>
            </w:r>
            <w:r w:rsidRPr="00D15ADE">
              <w:rPr>
                <w:rFonts w:cs="Arial"/>
                <w:sz w:val="22"/>
              </w:rPr>
              <w:t xml:space="preserve"> to START </w:t>
            </w:r>
            <w:r w:rsidR="002721DE" w:rsidRPr="00D15ADE">
              <w:rPr>
                <w:rFonts w:cs="Arial"/>
                <w:sz w:val="22"/>
              </w:rPr>
              <w:t xml:space="preserve">will be required. </w:t>
            </w:r>
            <w:r w:rsidRPr="00D15ADE">
              <w:rPr>
                <w:rFonts w:cs="Arial"/>
                <w:sz w:val="22"/>
              </w:rPr>
              <w:t xml:space="preserve"> </w:t>
            </w:r>
            <w:r w:rsidR="002721DE" w:rsidRPr="00D15ADE">
              <w:rPr>
                <w:rFonts w:cs="Arial"/>
                <w:sz w:val="22"/>
              </w:rPr>
              <w:t xml:space="preserve">Officials expect these changes to be relatively minor. </w:t>
            </w:r>
            <w:r w:rsidRPr="00D15ADE">
              <w:rPr>
                <w:rFonts w:cs="Arial"/>
                <w:sz w:val="22"/>
              </w:rPr>
              <w:t xml:space="preserve"> </w:t>
            </w:r>
            <w:r w:rsidR="002721DE" w:rsidRPr="00D15ADE">
              <w:rPr>
                <w:rFonts w:cs="Arial"/>
                <w:sz w:val="22"/>
              </w:rPr>
              <w:t>However, they are not yet fully scoped, costed and integrated into I</w:t>
            </w:r>
            <w:r w:rsidR="00D15ADE" w:rsidRPr="00D15ADE">
              <w:rPr>
                <w:rFonts w:cs="Arial"/>
                <w:sz w:val="22"/>
              </w:rPr>
              <w:t xml:space="preserve">nland </w:t>
            </w:r>
            <w:r w:rsidR="002721DE" w:rsidRPr="00D15ADE">
              <w:rPr>
                <w:rFonts w:cs="Arial"/>
                <w:sz w:val="22"/>
              </w:rPr>
              <w:t>R</w:t>
            </w:r>
            <w:r w:rsidR="00D15ADE" w:rsidRPr="00D15ADE">
              <w:rPr>
                <w:rFonts w:cs="Arial"/>
                <w:sz w:val="22"/>
              </w:rPr>
              <w:t>evenue</w:t>
            </w:r>
            <w:r w:rsidR="002721DE" w:rsidRPr="00D15ADE">
              <w:rPr>
                <w:rFonts w:cs="Arial"/>
                <w:sz w:val="22"/>
              </w:rPr>
              <w:t xml:space="preserve">’s </w:t>
            </w:r>
            <w:r w:rsidR="000002FA">
              <w:rPr>
                <w:rFonts w:cs="Arial"/>
                <w:sz w:val="22"/>
              </w:rPr>
              <w:t>2019-20 annual returns plan</w:t>
            </w:r>
            <w:r w:rsidR="002721DE" w:rsidRPr="00D15ADE">
              <w:rPr>
                <w:rFonts w:cs="Arial"/>
                <w:sz w:val="22"/>
              </w:rPr>
              <w:t xml:space="preserve">, creating an implementation risk. </w:t>
            </w:r>
            <w:r w:rsidR="00D15ADE" w:rsidRPr="00D15ADE">
              <w:rPr>
                <w:rFonts w:cs="Arial"/>
                <w:sz w:val="22"/>
              </w:rPr>
              <w:t xml:space="preserve"> </w:t>
            </w:r>
          </w:p>
          <w:p w14:paraId="41712BB4" w14:textId="1161A320" w:rsidR="000002FA" w:rsidRPr="00D15ADE" w:rsidRDefault="000002FA" w:rsidP="00905F97">
            <w:pPr>
              <w:pStyle w:val="TableText"/>
              <w:numPr>
                <w:ilvl w:val="0"/>
                <w:numId w:val="24"/>
              </w:numPr>
              <w:spacing w:before="240" w:after="240" w:line="276" w:lineRule="auto"/>
              <w:ind w:hanging="715"/>
              <w:rPr>
                <w:rFonts w:cs="Arial"/>
                <w:sz w:val="22"/>
              </w:rPr>
            </w:pPr>
            <w:r w:rsidRPr="000002FA">
              <w:rPr>
                <w:rFonts w:cs="Arial"/>
                <w:sz w:val="22"/>
              </w:rPr>
              <w:t xml:space="preserve">Successful implementation is based on </w:t>
            </w:r>
            <w:r>
              <w:rPr>
                <w:rFonts w:cs="Arial"/>
                <w:sz w:val="22"/>
              </w:rPr>
              <w:t>taxpayers</w:t>
            </w:r>
            <w:r w:rsidRPr="000002FA">
              <w:rPr>
                <w:rFonts w:cs="Arial"/>
                <w:sz w:val="22"/>
              </w:rPr>
              <w:t xml:space="preserve"> understanding the changes and how they apply to their situation. For those electing to apply the rules on a property-by-property basis, this explaining the changes in a simple way for them to understand may present a</w:t>
            </w:r>
            <w:r>
              <w:rPr>
                <w:rFonts w:cs="Arial"/>
                <w:sz w:val="22"/>
              </w:rPr>
              <w:t>n implementation</w:t>
            </w:r>
            <w:r w:rsidRPr="000002FA">
              <w:rPr>
                <w:rFonts w:cs="Arial"/>
                <w:sz w:val="22"/>
              </w:rPr>
              <w:t xml:space="preserve"> risk.</w:t>
            </w:r>
          </w:p>
        </w:tc>
      </w:tr>
    </w:tbl>
    <w:p w14:paraId="65E64E30" w14:textId="77777777" w:rsidR="0062657E" w:rsidRPr="0005691A" w:rsidRDefault="0062657E" w:rsidP="00663BAA">
      <w:pPr>
        <w:spacing w:line="276" w:lineRule="auto"/>
        <w:rPr>
          <w:rFonts w:cs="Arial"/>
          <w:b/>
          <w:color w:val="0082AB"/>
          <w:spacing w:val="20"/>
          <w:w w:val="90"/>
          <w:sz w:val="32"/>
          <w:szCs w:val="24"/>
        </w:rPr>
      </w:pPr>
      <w:r>
        <w:rPr>
          <w:rFonts w:cs="Arial"/>
          <w:sz w:val="20"/>
          <w:lang w:eastAsia="en-AU"/>
        </w:rPr>
        <w:br w:type="page"/>
      </w:r>
      <w:r w:rsidRPr="0005691A">
        <w:rPr>
          <w:rFonts w:cs="Arial"/>
          <w:b/>
          <w:color w:val="0082AB"/>
          <w:spacing w:val="20"/>
          <w:w w:val="90"/>
          <w:sz w:val="32"/>
          <w:szCs w:val="24"/>
        </w:rPr>
        <w:lastRenderedPageBreak/>
        <w:t>Section 7:  Monitoring, evaluation and review</w:t>
      </w:r>
    </w:p>
    <w:tbl>
      <w:tblPr>
        <w:tblW w:w="9048" w:type="dxa"/>
        <w:tblInd w:w="-5" w:type="dxa"/>
        <w:tblLook w:val="0480" w:firstRow="0" w:lastRow="0" w:firstColumn="1" w:lastColumn="0" w:noHBand="0" w:noVBand="1"/>
      </w:tblPr>
      <w:tblGrid>
        <w:gridCol w:w="9048"/>
      </w:tblGrid>
      <w:tr w:rsidR="0049467D" w:rsidRPr="0049467D" w14:paraId="2BA07676" w14:textId="77777777" w:rsidTr="004A11FC">
        <w:trPr>
          <w:trHeight w:val="206"/>
        </w:trPr>
        <w:tc>
          <w:tcPr>
            <w:tcW w:w="9048" w:type="dxa"/>
            <w:tcBorders>
              <w:top w:val="single" w:sz="4" w:space="0" w:color="auto"/>
              <w:left w:val="single" w:sz="4" w:space="0" w:color="auto"/>
              <w:bottom w:val="single" w:sz="4" w:space="0" w:color="auto"/>
              <w:right w:val="single" w:sz="4" w:space="0" w:color="auto"/>
            </w:tcBorders>
            <w:shd w:val="clear" w:color="auto" w:fill="99CDDD"/>
          </w:tcPr>
          <w:p w14:paraId="4F52840B" w14:textId="77777777" w:rsidR="0062657E" w:rsidRPr="0049467D" w:rsidRDefault="0062657E" w:rsidP="00DF2E7B">
            <w:pPr>
              <w:spacing w:before="60" w:after="60" w:line="240" w:lineRule="auto"/>
              <w:jc w:val="both"/>
              <w:rPr>
                <w:rFonts w:cs="Arial"/>
                <w:b/>
                <w:szCs w:val="22"/>
                <w:lang w:eastAsia="en-AU"/>
              </w:rPr>
            </w:pPr>
            <w:r w:rsidRPr="0049467D">
              <w:rPr>
                <w:rFonts w:cs="Arial"/>
                <w:b/>
                <w:szCs w:val="22"/>
                <w:lang w:eastAsia="en-AU"/>
              </w:rPr>
              <w:br w:type="page"/>
              <w:t>7.1   How will the impact of the new arrangements be monitored?</w:t>
            </w:r>
          </w:p>
        </w:tc>
      </w:tr>
      <w:tr w:rsidR="0049467D" w:rsidRPr="0049467D" w14:paraId="264771B2" w14:textId="77777777" w:rsidTr="003047DA">
        <w:trPr>
          <w:trHeight w:val="2953"/>
        </w:trPr>
        <w:tc>
          <w:tcPr>
            <w:tcW w:w="9048" w:type="dxa"/>
            <w:tcBorders>
              <w:top w:val="single" w:sz="4" w:space="0" w:color="auto"/>
              <w:left w:val="single" w:sz="4" w:space="0" w:color="auto"/>
              <w:bottom w:val="single" w:sz="4" w:space="0" w:color="auto"/>
              <w:right w:val="single" w:sz="4" w:space="0" w:color="auto"/>
            </w:tcBorders>
            <w:shd w:val="clear" w:color="auto" w:fill="FFFFFF"/>
          </w:tcPr>
          <w:p w14:paraId="6F72F052" w14:textId="327B4424" w:rsidR="0062657E" w:rsidRPr="003047DA" w:rsidRDefault="00C9513B" w:rsidP="00AA2956">
            <w:pPr>
              <w:pStyle w:val="TableText"/>
              <w:numPr>
                <w:ilvl w:val="0"/>
                <w:numId w:val="19"/>
              </w:numPr>
              <w:spacing w:before="240" w:after="240" w:line="276" w:lineRule="auto"/>
              <w:ind w:hanging="715"/>
              <w:rPr>
                <w:rFonts w:cs="Arial"/>
                <w:sz w:val="22"/>
              </w:rPr>
            </w:pPr>
            <w:r w:rsidRPr="00C9513B">
              <w:rPr>
                <w:rFonts w:cs="Arial"/>
                <w:sz w:val="22"/>
              </w:rPr>
              <w:t xml:space="preserve">Inland Revenue’s monitoring, evaluation and review of new legislation takes place under the </w:t>
            </w:r>
            <w:r w:rsidR="0074443D">
              <w:rPr>
                <w:rFonts w:cs="Arial"/>
                <w:sz w:val="22"/>
              </w:rPr>
              <w:t>Generic Tax Policy Process (</w:t>
            </w:r>
            <w:r w:rsidRPr="00C9513B">
              <w:rPr>
                <w:rFonts w:cs="Arial"/>
                <w:sz w:val="22"/>
              </w:rPr>
              <w:t>GTPP</w:t>
            </w:r>
            <w:r w:rsidR="0074443D">
              <w:rPr>
                <w:rFonts w:cs="Arial"/>
                <w:sz w:val="22"/>
              </w:rPr>
              <w:t>)</w:t>
            </w:r>
            <w:r w:rsidRPr="00C9513B">
              <w:rPr>
                <w:rFonts w:cs="Arial"/>
                <w:sz w:val="22"/>
              </w:rPr>
              <w:t>.  The GTPP is a multi-stage tax policy process that has been used to design tax policy in New Zealand since 1995.</w:t>
            </w:r>
          </w:p>
          <w:p w14:paraId="05AEC499" w14:textId="6BFC8D78" w:rsidR="005037E6" w:rsidRDefault="005C67E1" w:rsidP="005037E6">
            <w:pPr>
              <w:pStyle w:val="TableText"/>
              <w:numPr>
                <w:ilvl w:val="0"/>
                <w:numId w:val="19"/>
              </w:numPr>
              <w:spacing w:before="240" w:after="240" w:line="276" w:lineRule="auto"/>
              <w:ind w:hanging="715"/>
              <w:rPr>
                <w:sz w:val="22"/>
              </w:rPr>
            </w:pPr>
            <w:r w:rsidRPr="005C67E1">
              <w:rPr>
                <w:iCs/>
                <w:sz w:val="22"/>
              </w:rPr>
              <w:t>The Ministry of Business</w:t>
            </w:r>
            <w:r w:rsidR="00EB6AD8">
              <w:rPr>
                <w:iCs/>
                <w:sz w:val="22"/>
              </w:rPr>
              <w:t>,</w:t>
            </w:r>
            <w:r w:rsidRPr="005C67E1">
              <w:rPr>
                <w:iCs/>
                <w:sz w:val="22"/>
              </w:rPr>
              <w:t xml:space="preserve"> Innovation and Employment currently investigates trends in house prices and housing affordability, using a variety of measures to get a complete picture of affordability. </w:t>
            </w:r>
            <w:r>
              <w:rPr>
                <w:iCs/>
                <w:sz w:val="22"/>
              </w:rPr>
              <w:t xml:space="preserve"> </w:t>
            </w:r>
            <w:r w:rsidRPr="005C67E1">
              <w:rPr>
                <w:iCs/>
                <w:sz w:val="22"/>
              </w:rPr>
              <w:t>For home buyers</w:t>
            </w:r>
            <w:r>
              <w:rPr>
                <w:iCs/>
                <w:sz w:val="22"/>
              </w:rPr>
              <w:t>,</w:t>
            </w:r>
            <w:r w:rsidRPr="005C67E1">
              <w:rPr>
                <w:iCs/>
                <w:sz w:val="22"/>
              </w:rPr>
              <w:t xml:space="preserve"> this includes the level of house prices, how house prices compare to incomes, and the experimental Housing Affordability Measure for first home buyers. </w:t>
            </w:r>
            <w:r>
              <w:rPr>
                <w:iCs/>
                <w:sz w:val="22"/>
              </w:rPr>
              <w:t xml:space="preserve"> </w:t>
            </w:r>
            <w:r w:rsidRPr="005C67E1">
              <w:rPr>
                <w:iCs/>
                <w:sz w:val="22"/>
              </w:rPr>
              <w:t>For renters</w:t>
            </w:r>
            <w:r>
              <w:rPr>
                <w:iCs/>
                <w:sz w:val="22"/>
              </w:rPr>
              <w:t>,</w:t>
            </w:r>
            <w:r w:rsidRPr="005C67E1">
              <w:rPr>
                <w:iCs/>
                <w:sz w:val="22"/>
              </w:rPr>
              <w:t xml:space="preserve"> the data </w:t>
            </w:r>
            <w:r>
              <w:rPr>
                <w:iCs/>
                <w:sz w:val="22"/>
              </w:rPr>
              <w:t xml:space="preserve">monitored includes rent levels </w:t>
            </w:r>
            <w:r w:rsidRPr="005C67E1">
              <w:rPr>
                <w:iCs/>
                <w:sz w:val="22"/>
              </w:rPr>
              <w:t xml:space="preserve">and the Housing Affordability </w:t>
            </w:r>
            <w:r w:rsidR="00EB6AD8">
              <w:rPr>
                <w:iCs/>
                <w:sz w:val="22"/>
              </w:rPr>
              <w:t>M</w:t>
            </w:r>
            <w:r w:rsidRPr="005C67E1">
              <w:rPr>
                <w:iCs/>
                <w:sz w:val="22"/>
              </w:rPr>
              <w:t xml:space="preserve">easure for renters. </w:t>
            </w:r>
            <w:r>
              <w:rPr>
                <w:iCs/>
                <w:sz w:val="22"/>
              </w:rPr>
              <w:t xml:space="preserve"> </w:t>
            </w:r>
            <w:r w:rsidRPr="005C67E1">
              <w:rPr>
                <w:iCs/>
                <w:sz w:val="22"/>
              </w:rPr>
              <w:t>The impact of loss ring</w:t>
            </w:r>
            <w:r>
              <w:rPr>
                <w:iCs/>
                <w:sz w:val="22"/>
              </w:rPr>
              <w:t>-</w:t>
            </w:r>
            <w:r w:rsidRPr="005C67E1">
              <w:rPr>
                <w:iCs/>
                <w:sz w:val="22"/>
              </w:rPr>
              <w:t xml:space="preserve">fencing may be seen in an improvement in measures of housing affordability for home purchasers, and may also be seen in the proportion of houses in each area that are purchased by first home buyers and </w:t>
            </w:r>
            <w:r w:rsidR="00EB6AD8">
              <w:rPr>
                <w:iCs/>
                <w:sz w:val="22"/>
              </w:rPr>
              <w:t>i</w:t>
            </w:r>
            <w:r w:rsidRPr="005C67E1">
              <w:rPr>
                <w:iCs/>
                <w:sz w:val="22"/>
              </w:rPr>
              <w:t xml:space="preserve">nvestors – with the percentage of property purchased by first home buyers expected to increase over time as a result of the ring-fencing </w:t>
            </w:r>
            <w:r>
              <w:rPr>
                <w:iCs/>
                <w:sz w:val="22"/>
              </w:rPr>
              <w:t>rules</w:t>
            </w:r>
            <w:r w:rsidRPr="005C67E1">
              <w:rPr>
                <w:iCs/>
                <w:sz w:val="22"/>
              </w:rPr>
              <w:t xml:space="preserve">. </w:t>
            </w:r>
            <w:r>
              <w:rPr>
                <w:iCs/>
                <w:sz w:val="22"/>
              </w:rPr>
              <w:t xml:space="preserve"> </w:t>
            </w:r>
            <w:r w:rsidRPr="005C67E1">
              <w:rPr>
                <w:iCs/>
                <w:sz w:val="22"/>
              </w:rPr>
              <w:t xml:space="preserve">The impact on rental affordability will be monitored to identify if there appear to be any significant negative impacts on renters from the policy. </w:t>
            </w:r>
            <w:r>
              <w:rPr>
                <w:iCs/>
                <w:sz w:val="22"/>
              </w:rPr>
              <w:t xml:space="preserve"> </w:t>
            </w:r>
            <w:r w:rsidRPr="005C67E1">
              <w:rPr>
                <w:iCs/>
                <w:sz w:val="22"/>
              </w:rPr>
              <w:t xml:space="preserve">There is significant uncertainty about the scale of the </w:t>
            </w:r>
            <w:r>
              <w:rPr>
                <w:iCs/>
                <w:sz w:val="22"/>
              </w:rPr>
              <w:t xml:space="preserve">potential </w:t>
            </w:r>
            <w:r w:rsidRPr="005C67E1">
              <w:rPr>
                <w:iCs/>
                <w:sz w:val="22"/>
              </w:rPr>
              <w:t xml:space="preserve">impact of the policy on the housing market. </w:t>
            </w:r>
            <w:r>
              <w:rPr>
                <w:iCs/>
                <w:sz w:val="22"/>
              </w:rPr>
              <w:t xml:space="preserve"> </w:t>
            </w:r>
            <w:r w:rsidRPr="005C67E1">
              <w:rPr>
                <w:iCs/>
                <w:sz w:val="22"/>
              </w:rPr>
              <w:t xml:space="preserve">Furthermore, </w:t>
            </w:r>
            <w:r>
              <w:rPr>
                <w:iCs/>
                <w:sz w:val="22"/>
              </w:rPr>
              <w:t>because of</w:t>
            </w:r>
            <w:r w:rsidRPr="005C67E1">
              <w:rPr>
                <w:iCs/>
                <w:sz w:val="22"/>
              </w:rPr>
              <w:t xml:space="preserve"> the substantial number of factors that affect the housing market, including other policy interventions under development, it is likely to be difficult from a practical perspective to identify the causal impact of the </w:t>
            </w:r>
            <w:r>
              <w:rPr>
                <w:iCs/>
                <w:sz w:val="22"/>
              </w:rPr>
              <w:t xml:space="preserve">proposed </w:t>
            </w:r>
            <w:r w:rsidRPr="005C67E1">
              <w:rPr>
                <w:iCs/>
                <w:sz w:val="22"/>
              </w:rPr>
              <w:t>loss ring</w:t>
            </w:r>
            <w:r>
              <w:rPr>
                <w:iCs/>
                <w:sz w:val="22"/>
              </w:rPr>
              <w:t>-</w:t>
            </w:r>
            <w:r w:rsidRPr="005C67E1">
              <w:rPr>
                <w:iCs/>
                <w:sz w:val="22"/>
              </w:rPr>
              <w:t xml:space="preserve">fencing </w:t>
            </w:r>
            <w:r>
              <w:rPr>
                <w:iCs/>
                <w:sz w:val="22"/>
              </w:rPr>
              <w:t>rules on affordability for first-</w:t>
            </w:r>
            <w:r w:rsidRPr="005C67E1">
              <w:rPr>
                <w:iCs/>
                <w:sz w:val="22"/>
              </w:rPr>
              <w:t>home buyer</w:t>
            </w:r>
            <w:r>
              <w:rPr>
                <w:iCs/>
                <w:sz w:val="22"/>
              </w:rPr>
              <w:t>s</w:t>
            </w:r>
            <w:r w:rsidRPr="005C67E1">
              <w:rPr>
                <w:iCs/>
                <w:sz w:val="22"/>
              </w:rPr>
              <w:t>, though housing affordability data may give some indication of the impact of the policy</w:t>
            </w:r>
            <w:r>
              <w:rPr>
                <w:i/>
                <w:iCs/>
                <w:color w:val="1F497D"/>
              </w:rPr>
              <w:t>.</w:t>
            </w:r>
            <w:r w:rsidR="00F10F9E">
              <w:rPr>
                <w:sz w:val="22"/>
              </w:rPr>
              <w:t xml:space="preserve">  </w:t>
            </w:r>
          </w:p>
          <w:p w14:paraId="3D48A0A3" w14:textId="1CB8E47F" w:rsidR="002A1ED1" w:rsidRPr="00C9513B" w:rsidRDefault="00F10F9E" w:rsidP="005037E6">
            <w:pPr>
              <w:pStyle w:val="TableText"/>
              <w:numPr>
                <w:ilvl w:val="0"/>
                <w:numId w:val="19"/>
              </w:numPr>
              <w:spacing w:before="240" w:after="240" w:line="276" w:lineRule="auto"/>
              <w:ind w:hanging="715"/>
              <w:rPr>
                <w:sz w:val="22"/>
              </w:rPr>
            </w:pPr>
            <w:r>
              <w:rPr>
                <w:sz w:val="22"/>
              </w:rPr>
              <w:t xml:space="preserve">We will also monitor data on the amount of ring-fenced rental losses, which will provide </w:t>
            </w:r>
            <w:r w:rsidR="005037E6">
              <w:rPr>
                <w:sz w:val="22"/>
              </w:rPr>
              <w:t>an</w:t>
            </w:r>
            <w:r>
              <w:rPr>
                <w:sz w:val="22"/>
              </w:rPr>
              <w:t xml:space="preserve"> indication of the impact of the policy</w:t>
            </w:r>
            <w:r w:rsidR="005037E6">
              <w:rPr>
                <w:sz w:val="22"/>
              </w:rPr>
              <w:t>, and whether the proposed anti-structuring rules are effective.</w:t>
            </w:r>
          </w:p>
        </w:tc>
      </w:tr>
    </w:tbl>
    <w:p w14:paraId="1DE18365" w14:textId="77777777" w:rsidR="0062657E" w:rsidRPr="0049467D" w:rsidRDefault="0062657E" w:rsidP="0049234F">
      <w:pPr>
        <w:pStyle w:val="spacer"/>
      </w:pPr>
    </w:p>
    <w:tbl>
      <w:tblPr>
        <w:tblW w:w="9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48"/>
      </w:tblGrid>
      <w:tr w:rsidR="0049467D" w:rsidRPr="0049467D" w14:paraId="4AF3ABAB" w14:textId="77777777" w:rsidTr="004A11FC">
        <w:trPr>
          <w:trHeight w:val="296"/>
        </w:trPr>
        <w:tc>
          <w:tcPr>
            <w:tcW w:w="9048" w:type="dxa"/>
            <w:shd w:val="clear" w:color="auto" w:fill="99CDDD"/>
          </w:tcPr>
          <w:p w14:paraId="6F7A8956" w14:textId="77777777" w:rsidR="0062657E" w:rsidRPr="0049467D" w:rsidRDefault="0062657E" w:rsidP="00DF2E7B">
            <w:pPr>
              <w:spacing w:before="60" w:after="60" w:line="240" w:lineRule="auto"/>
              <w:jc w:val="both"/>
              <w:rPr>
                <w:rFonts w:cs="Arial"/>
                <w:b/>
                <w:szCs w:val="22"/>
                <w:lang w:eastAsia="en-AU"/>
              </w:rPr>
            </w:pPr>
            <w:r w:rsidRPr="0049467D">
              <w:rPr>
                <w:rFonts w:cs="Arial"/>
                <w:b/>
                <w:szCs w:val="22"/>
                <w:lang w:eastAsia="en-AU"/>
              </w:rPr>
              <w:br w:type="page"/>
              <w:t xml:space="preserve">7.2   When and how will the new arrangements be reviewed? </w:t>
            </w:r>
          </w:p>
        </w:tc>
      </w:tr>
      <w:tr w:rsidR="0049467D" w:rsidRPr="0049467D" w14:paraId="53A00509" w14:textId="77777777" w:rsidTr="00C9513B">
        <w:trPr>
          <w:trHeight w:val="2200"/>
        </w:trPr>
        <w:tc>
          <w:tcPr>
            <w:tcW w:w="9048" w:type="dxa"/>
            <w:shd w:val="clear" w:color="auto" w:fill="FFFFFF"/>
          </w:tcPr>
          <w:p w14:paraId="119D74C6" w14:textId="0775A4A4" w:rsidR="002A1ED1" w:rsidRDefault="006B4791" w:rsidP="00AA2956">
            <w:pPr>
              <w:pStyle w:val="TableText"/>
              <w:numPr>
                <w:ilvl w:val="0"/>
                <w:numId w:val="20"/>
              </w:numPr>
              <w:spacing w:before="240" w:after="240" w:line="276" w:lineRule="auto"/>
              <w:ind w:hanging="715"/>
              <w:rPr>
                <w:rFonts w:cs="Arial"/>
                <w:sz w:val="22"/>
              </w:rPr>
            </w:pPr>
            <w:r>
              <w:rPr>
                <w:rFonts w:cs="Arial"/>
                <w:sz w:val="22"/>
              </w:rPr>
              <w:t>W</w:t>
            </w:r>
            <w:r w:rsidR="002A1ED1">
              <w:rPr>
                <w:rFonts w:cs="Arial"/>
                <w:sz w:val="22"/>
              </w:rPr>
              <w:t xml:space="preserve">e will monitor </w:t>
            </w:r>
            <w:r w:rsidR="00C9513B" w:rsidRPr="00C9513B">
              <w:rPr>
                <w:rFonts w:cs="Arial"/>
                <w:sz w:val="22"/>
              </w:rPr>
              <w:t>the first year of operation of new legislation</w:t>
            </w:r>
            <w:r w:rsidR="002A1ED1">
              <w:rPr>
                <w:rFonts w:cs="Arial"/>
                <w:sz w:val="22"/>
              </w:rPr>
              <w:t xml:space="preserve">, </w:t>
            </w:r>
            <w:r w:rsidR="002F1200">
              <w:rPr>
                <w:rFonts w:cs="Arial"/>
                <w:sz w:val="22"/>
              </w:rPr>
              <w:t xml:space="preserve">and if we identify </w:t>
            </w:r>
            <w:r w:rsidR="00B56168">
              <w:rPr>
                <w:rFonts w:cs="Arial"/>
                <w:sz w:val="22"/>
              </w:rPr>
              <w:t>anything that suggests a formal review is warranted we will undertake that – for example data that suggests significant negative impacts on the rental housing market</w:t>
            </w:r>
            <w:r w:rsidR="002F1200">
              <w:rPr>
                <w:rFonts w:cs="Arial"/>
                <w:sz w:val="22"/>
              </w:rPr>
              <w:t xml:space="preserve">.  </w:t>
            </w:r>
            <w:r w:rsidR="00B56168">
              <w:rPr>
                <w:rFonts w:cs="Arial"/>
                <w:sz w:val="22"/>
              </w:rPr>
              <w:t>S</w:t>
            </w:r>
            <w:r w:rsidR="002A1ED1">
              <w:rPr>
                <w:rFonts w:cs="Arial"/>
                <w:sz w:val="22"/>
              </w:rPr>
              <w:t xml:space="preserve">takeholders </w:t>
            </w:r>
            <w:r w:rsidR="00B56168">
              <w:rPr>
                <w:rFonts w:cs="Arial"/>
                <w:sz w:val="22"/>
              </w:rPr>
              <w:t xml:space="preserve">will have the ability </w:t>
            </w:r>
            <w:r w:rsidR="002A1ED1">
              <w:rPr>
                <w:rFonts w:cs="Arial"/>
                <w:sz w:val="22"/>
              </w:rPr>
              <w:t>to raise concerns</w:t>
            </w:r>
            <w:r w:rsidR="00B56168">
              <w:rPr>
                <w:rFonts w:cs="Arial"/>
                <w:sz w:val="22"/>
              </w:rPr>
              <w:t xml:space="preserve"> with us, and i</w:t>
            </w:r>
            <w:r w:rsidR="00C9513B" w:rsidRPr="00C9513B">
              <w:rPr>
                <w:rFonts w:cs="Arial"/>
                <w:sz w:val="22"/>
              </w:rPr>
              <w:t>f there is a need to make remedial amendments to the new rules these will be prioritised for inclusion on the Tax</w:t>
            </w:r>
            <w:r>
              <w:rPr>
                <w:rFonts w:cs="Arial"/>
                <w:sz w:val="22"/>
              </w:rPr>
              <w:t xml:space="preserve"> Policy Work Programme, and proposed amendments </w:t>
            </w:r>
            <w:r w:rsidR="00C9513B" w:rsidRPr="00C9513B">
              <w:rPr>
                <w:rFonts w:cs="Arial"/>
                <w:sz w:val="22"/>
              </w:rPr>
              <w:t>would go through the GTPP.</w:t>
            </w:r>
          </w:p>
          <w:p w14:paraId="584B1636" w14:textId="5F5193FC" w:rsidR="005037E6" w:rsidRPr="00C9513B" w:rsidRDefault="005037E6" w:rsidP="005037E6">
            <w:pPr>
              <w:pStyle w:val="TableText"/>
              <w:numPr>
                <w:ilvl w:val="0"/>
                <w:numId w:val="20"/>
              </w:numPr>
              <w:spacing w:before="240" w:after="240" w:line="276" w:lineRule="auto"/>
              <w:ind w:hanging="715"/>
              <w:rPr>
                <w:rFonts w:cs="Arial"/>
                <w:sz w:val="22"/>
              </w:rPr>
            </w:pPr>
            <w:r w:rsidRPr="00E6631F">
              <w:rPr>
                <w:rFonts w:cs="Arial"/>
                <w:sz w:val="22"/>
              </w:rPr>
              <w:t>It is noted that if</w:t>
            </w:r>
            <w:r w:rsidRPr="00E6631F">
              <w:rPr>
                <w:sz w:val="22"/>
              </w:rPr>
              <w:t xml:space="preserve"> a comprehensive capital gains tax were </w:t>
            </w:r>
            <w:r w:rsidRPr="00E6631F">
              <w:rPr>
                <w:rFonts w:cs="Arial"/>
                <w:sz w:val="22"/>
              </w:rPr>
              <w:t xml:space="preserve">to be </w:t>
            </w:r>
            <w:r w:rsidRPr="00E6631F">
              <w:rPr>
                <w:sz w:val="22"/>
              </w:rPr>
              <w:t xml:space="preserve">implemented, loss ring-fencing </w:t>
            </w:r>
            <w:r>
              <w:rPr>
                <w:rFonts w:cs="Arial"/>
                <w:sz w:val="22"/>
              </w:rPr>
              <w:t>would be reviewed at that time</w:t>
            </w:r>
            <w:r w:rsidRPr="00E6631F">
              <w:rPr>
                <w:rFonts w:cs="Arial"/>
                <w:sz w:val="22"/>
              </w:rPr>
              <w:t>.</w:t>
            </w:r>
          </w:p>
        </w:tc>
      </w:tr>
    </w:tbl>
    <w:p w14:paraId="3CEE07EE" w14:textId="77777777" w:rsidR="00397C8D" w:rsidRPr="0049467D" w:rsidRDefault="00397C8D" w:rsidP="00922229">
      <w:pPr>
        <w:pStyle w:val="spacer"/>
      </w:pPr>
    </w:p>
    <w:sectPr w:rsidR="00397C8D" w:rsidRPr="0049467D" w:rsidSect="0005691A">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4C20B" w14:textId="77777777" w:rsidR="00BA316C" w:rsidRDefault="00BA316C">
      <w:pPr>
        <w:spacing w:after="0" w:line="240" w:lineRule="auto"/>
      </w:pPr>
      <w:r>
        <w:separator/>
      </w:r>
    </w:p>
  </w:endnote>
  <w:endnote w:type="continuationSeparator" w:id="0">
    <w:p w14:paraId="36438C25" w14:textId="77777777" w:rsidR="00BA316C" w:rsidRDefault="00BA316C">
      <w:pPr>
        <w:spacing w:after="0" w:line="240" w:lineRule="auto"/>
      </w:pPr>
      <w:r>
        <w:continuationSeparator/>
      </w:r>
    </w:p>
  </w:endnote>
  <w:endnote w:type="continuationNotice" w:id="1">
    <w:p w14:paraId="43573235" w14:textId="77777777" w:rsidR="00BA316C" w:rsidRDefault="00BA3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7A81" w14:textId="03899722" w:rsidR="00BA316C" w:rsidRPr="009435C4" w:rsidRDefault="00BA316C" w:rsidP="00FA7EFC">
    <w:pPr>
      <w:pStyle w:val="Footer"/>
    </w:pPr>
    <w:r>
      <w:t xml:space="preserve">Impact Statement: Ring-fencing rental losses   </w:t>
    </w:r>
    <w:r w:rsidRPr="009435C4">
      <w:t xml:space="preserve">|   </w:t>
    </w:r>
    <w:r w:rsidRPr="009435C4">
      <w:fldChar w:fldCharType="begin"/>
    </w:r>
    <w:r w:rsidRPr="009435C4">
      <w:instrText xml:space="preserve"> PAGE </w:instrText>
    </w:r>
    <w:r w:rsidRPr="009435C4">
      <w:fldChar w:fldCharType="separate"/>
    </w:r>
    <w:r>
      <w:t>10</w:t>
    </w:r>
    <w:r w:rsidRPr="009435C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939AF" w14:textId="77777777" w:rsidR="00BA316C" w:rsidRDefault="00BA316C" w:rsidP="00FA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BFDB2" w14:textId="4FAF9692" w:rsidR="00BA316C" w:rsidRPr="00FA7EFC" w:rsidRDefault="00BA316C" w:rsidP="00FA7EFC">
    <w:pPr>
      <w:pStyle w:val="Footer"/>
    </w:pPr>
    <w:r>
      <w:t xml:space="preserve">  Impact Statement: Ring-fencing rental losses   </w:t>
    </w:r>
    <w:r w:rsidRPr="00FA7EFC">
      <w:t xml:space="preserve">|   </w:t>
    </w:r>
    <w:r w:rsidRPr="00FA7EFC">
      <w:fldChar w:fldCharType="begin"/>
    </w:r>
    <w:r w:rsidRPr="00FA7EFC">
      <w:instrText xml:space="preserve"> PAGE </w:instrText>
    </w:r>
    <w:r w:rsidRPr="00FA7EFC">
      <w:fldChar w:fldCharType="separate"/>
    </w:r>
    <w:r>
      <w:t>27</w:t>
    </w:r>
    <w:r w:rsidRPr="00FA7EF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86E8" w14:textId="77777777" w:rsidR="00BA316C" w:rsidRDefault="00BA316C" w:rsidP="00FA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594A7" w14:textId="77777777" w:rsidR="00BA316C" w:rsidRDefault="00BA316C">
      <w:pPr>
        <w:spacing w:after="0" w:line="240" w:lineRule="auto"/>
      </w:pPr>
      <w:r>
        <w:separator/>
      </w:r>
    </w:p>
  </w:footnote>
  <w:footnote w:type="continuationSeparator" w:id="0">
    <w:p w14:paraId="0D00D5B6" w14:textId="77777777" w:rsidR="00BA316C" w:rsidRDefault="00BA316C">
      <w:pPr>
        <w:spacing w:after="0" w:line="240" w:lineRule="auto"/>
      </w:pPr>
      <w:r>
        <w:continuationSeparator/>
      </w:r>
    </w:p>
  </w:footnote>
  <w:footnote w:type="continuationNotice" w:id="1">
    <w:p w14:paraId="614C9888" w14:textId="77777777" w:rsidR="00BA316C" w:rsidRDefault="00BA316C">
      <w:pPr>
        <w:spacing w:after="0" w:line="240" w:lineRule="auto"/>
      </w:pPr>
    </w:p>
  </w:footnote>
  <w:footnote w:id="2">
    <w:p w14:paraId="50D855C9" w14:textId="3C0133E1" w:rsidR="00BA316C" w:rsidRPr="00B917E0" w:rsidRDefault="00BA316C">
      <w:pPr>
        <w:pStyle w:val="FootnoteText"/>
        <w:rPr>
          <w:sz w:val="16"/>
          <w:szCs w:val="16"/>
          <w:lang w:val="en-NZ"/>
        </w:rPr>
      </w:pPr>
      <w:r w:rsidRPr="00B917E0">
        <w:rPr>
          <w:rStyle w:val="FootnoteReference"/>
          <w:szCs w:val="16"/>
        </w:rPr>
        <w:footnoteRef/>
      </w:r>
      <w:r w:rsidRPr="00B917E0">
        <w:rPr>
          <w:sz w:val="16"/>
          <w:szCs w:val="16"/>
        </w:rPr>
        <w:t xml:space="preserve"> </w:t>
      </w:r>
      <w:hyperlink r:id="rId1" w:history="1">
        <w:r w:rsidRPr="00B917E0">
          <w:rPr>
            <w:rStyle w:val="Hyperlink"/>
            <w:sz w:val="16"/>
            <w:szCs w:val="16"/>
          </w:rPr>
          <w:t>https://www.stats.govt.nz/information-releases/dwelling-and-household-estimates-december-2017-quarter</w:t>
        </w:r>
      </w:hyperlink>
    </w:p>
  </w:footnote>
  <w:footnote w:id="3">
    <w:p w14:paraId="3E06DE22" w14:textId="77777777" w:rsidR="00BA316C" w:rsidRPr="00DE0369" w:rsidRDefault="00BA316C" w:rsidP="008458C1">
      <w:pPr>
        <w:pStyle w:val="FootnoteText"/>
        <w:rPr>
          <w:sz w:val="16"/>
          <w:szCs w:val="16"/>
          <w:lang w:val="en-NZ"/>
        </w:rPr>
      </w:pPr>
      <w:r w:rsidRPr="00DE0369">
        <w:rPr>
          <w:rStyle w:val="FootnoteReference"/>
          <w:szCs w:val="16"/>
        </w:rPr>
        <w:footnoteRef/>
      </w:r>
      <w:r w:rsidRPr="00DE0369">
        <w:rPr>
          <w:sz w:val="16"/>
          <w:szCs w:val="16"/>
        </w:rPr>
        <w:t xml:space="preserve"> </w:t>
      </w:r>
      <w:hyperlink r:id="rId2" w:history="1">
        <w:r w:rsidRPr="00DE0369">
          <w:rPr>
            <w:rStyle w:val="Hyperlink"/>
            <w:sz w:val="16"/>
            <w:szCs w:val="16"/>
          </w:rPr>
          <w:t>https://www.barfoot.co.nz/market-reports/2017/december/changes-in-gross-yield</w:t>
        </w:r>
      </w:hyperlink>
      <w:r w:rsidRPr="00DE0369">
        <w:rPr>
          <w:sz w:val="16"/>
          <w:szCs w:val="16"/>
        </w:rPr>
        <w:t xml:space="preserve"> </w:t>
      </w:r>
    </w:p>
  </w:footnote>
  <w:footnote w:id="4">
    <w:p w14:paraId="280537A6" w14:textId="20531ECA" w:rsidR="00BA316C" w:rsidRPr="000C4E26" w:rsidRDefault="00BA316C" w:rsidP="00E6631F">
      <w:pPr>
        <w:pStyle w:val="FootnoteText"/>
        <w:rPr>
          <w:sz w:val="16"/>
          <w:szCs w:val="16"/>
          <w:lang w:val="en-NZ"/>
        </w:rPr>
      </w:pPr>
      <w:r w:rsidRPr="000C4E26">
        <w:rPr>
          <w:rStyle w:val="FootnoteReference"/>
          <w:szCs w:val="16"/>
        </w:rPr>
        <w:footnoteRef/>
      </w:r>
      <w:r w:rsidRPr="000C4E26">
        <w:rPr>
          <w:sz w:val="16"/>
          <w:szCs w:val="16"/>
        </w:rPr>
        <w:t xml:space="preserve"> </w:t>
      </w:r>
      <w:hyperlink r:id="rId3" w:history="1">
        <w:r w:rsidRPr="000C4E26">
          <w:rPr>
            <w:rStyle w:val="Hyperlink"/>
            <w:sz w:val="16"/>
            <w:szCs w:val="16"/>
          </w:rPr>
          <w:t>https://taxworkinggroup.govt.nz/terms-of-reference/</w:t>
        </w:r>
      </w:hyperlink>
    </w:p>
  </w:footnote>
  <w:footnote w:id="5">
    <w:p w14:paraId="6B34B3F1" w14:textId="6ADAB90F" w:rsidR="00BA316C" w:rsidRPr="000C4E26" w:rsidRDefault="00BA316C" w:rsidP="00E6631F">
      <w:pPr>
        <w:pStyle w:val="FootnoteText"/>
        <w:rPr>
          <w:sz w:val="16"/>
          <w:szCs w:val="16"/>
          <w:lang w:val="en-NZ"/>
        </w:rPr>
      </w:pPr>
      <w:r w:rsidRPr="000C4E26">
        <w:rPr>
          <w:rStyle w:val="FootnoteReference"/>
          <w:szCs w:val="16"/>
        </w:rPr>
        <w:footnoteRef/>
      </w:r>
      <w:r w:rsidRPr="000C4E26">
        <w:rPr>
          <w:sz w:val="16"/>
          <w:szCs w:val="16"/>
        </w:rPr>
        <w:t xml:space="preserve"> </w:t>
      </w:r>
      <w:hyperlink r:id="rId4" w:history="1">
        <w:r w:rsidRPr="000C4E26">
          <w:rPr>
            <w:rStyle w:val="Hyperlink"/>
            <w:sz w:val="16"/>
            <w:szCs w:val="16"/>
          </w:rPr>
          <w:t>https://www.beehive.govt.nz/release/towards-fairer-tax-system-tax-working-group-terms-reference-announced</w:t>
        </w:r>
      </w:hyperlink>
    </w:p>
  </w:footnote>
  <w:footnote w:id="6">
    <w:p w14:paraId="66875C72" w14:textId="2D28E7B9" w:rsidR="00BA316C" w:rsidRPr="00922229" w:rsidRDefault="00BA316C" w:rsidP="00922229">
      <w:pPr>
        <w:pStyle w:val="FootnoteText"/>
        <w:tabs>
          <w:tab w:val="clear" w:pos="425"/>
          <w:tab w:val="left" w:pos="142"/>
        </w:tabs>
        <w:ind w:left="142" w:hanging="142"/>
        <w:rPr>
          <w:lang w:val="en-NZ"/>
        </w:rPr>
      </w:pPr>
      <w:r>
        <w:rPr>
          <w:rStyle w:val="FootnoteReference"/>
        </w:rPr>
        <w:footnoteRef/>
      </w:r>
      <w:r>
        <w:t xml:space="preserve"> </w:t>
      </w:r>
      <w:r w:rsidRPr="00922229">
        <w:rPr>
          <w:sz w:val="16"/>
          <w:szCs w:val="16"/>
          <w:lang w:val="en-NZ"/>
        </w:rPr>
        <w:t>And in the case of a business of erecting buildings, the taxpayer or an associated person made improvements to the land.</w:t>
      </w:r>
    </w:p>
  </w:footnote>
  <w:footnote w:id="7">
    <w:p w14:paraId="0C6FA023" w14:textId="77777777" w:rsidR="00BA316C" w:rsidRPr="00F90B5D" w:rsidRDefault="00BA316C" w:rsidP="002E117C">
      <w:pPr>
        <w:pStyle w:val="FootnoteText"/>
        <w:rPr>
          <w:sz w:val="16"/>
          <w:szCs w:val="16"/>
        </w:rPr>
      </w:pPr>
      <w:r w:rsidRPr="00F90B5D">
        <w:rPr>
          <w:rStyle w:val="FootnoteReference"/>
          <w:szCs w:val="16"/>
        </w:rPr>
        <w:footnoteRef/>
      </w:r>
      <w:r w:rsidRPr="00F90B5D">
        <w:rPr>
          <w:sz w:val="16"/>
          <w:szCs w:val="16"/>
        </w:rPr>
        <w:t xml:space="preserve"> As per section CB 7 of the Income Tax Act 2007.</w:t>
      </w:r>
    </w:p>
  </w:footnote>
  <w:footnote w:id="8">
    <w:p w14:paraId="60DC7D1A" w14:textId="77777777" w:rsidR="00BA316C" w:rsidRPr="00712EC7" w:rsidRDefault="00BA316C" w:rsidP="00E6099C">
      <w:pPr>
        <w:pStyle w:val="FootnoteText"/>
        <w:rPr>
          <w:sz w:val="16"/>
          <w:szCs w:val="16"/>
        </w:rPr>
      </w:pPr>
      <w:r w:rsidRPr="00712EC7">
        <w:rPr>
          <w:rStyle w:val="FootnoteReference"/>
          <w:szCs w:val="16"/>
        </w:rPr>
        <w:footnoteRef/>
      </w:r>
      <w:r w:rsidRPr="00712EC7">
        <w:rPr>
          <w:sz w:val="16"/>
          <w:szCs w:val="16"/>
        </w:rPr>
        <w:t xml:space="preserve"> </w:t>
      </w:r>
      <w:r w:rsidRPr="005037E6">
        <w:rPr>
          <w:i/>
          <w:sz w:val="16"/>
          <w:szCs w:val="16"/>
        </w:rPr>
        <w:t>Consultative Document on the Taxation of Income from Capital</w:t>
      </w:r>
      <w:r w:rsidRPr="00712EC7">
        <w:rPr>
          <w:sz w:val="16"/>
          <w:szCs w:val="16"/>
        </w:rPr>
        <w:t xml:space="preserve"> (December 1989).</w:t>
      </w:r>
    </w:p>
  </w:footnote>
  <w:footnote w:id="9">
    <w:p w14:paraId="36B6BB12" w14:textId="60C6BE44" w:rsidR="00BA316C" w:rsidRPr="00552A37" w:rsidRDefault="00BA316C">
      <w:pPr>
        <w:pStyle w:val="FootnoteText"/>
        <w:rPr>
          <w:lang w:val="en-NZ"/>
        </w:rPr>
      </w:pPr>
      <w:r>
        <w:rPr>
          <w:rStyle w:val="FootnoteReference"/>
        </w:rPr>
        <w:footnoteRef/>
      </w:r>
      <w:r>
        <w:t xml:space="preserve"> </w:t>
      </w:r>
      <w:r>
        <w:rPr>
          <w:lang w:val="en-NZ"/>
        </w:rPr>
        <w:t xml:space="preserve">Discussed further from paragraph 6.1,3, </w:t>
      </w:r>
    </w:p>
  </w:footnote>
  <w:footnote w:id="10">
    <w:p w14:paraId="60658E3B" w14:textId="36B29BD8" w:rsidR="00BA316C" w:rsidRPr="0099132D" w:rsidRDefault="00BA316C">
      <w:pPr>
        <w:pStyle w:val="FootnoteText"/>
        <w:rPr>
          <w:sz w:val="16"/>
          <w:szCs w:val="16"/>
          <w:lang w:val="en-NZ"/>
        </w:rPr>
      </w:pPr>
      <w:r w:rsidRPr="0099132D">
        <w:rPr>
          <w:rStyle w:val="FootnoteReference"/>
          <w:szCs w:val="16"/>
        </w:rPr>
        <w:footnoteRef/>
      </w:r>
      <w:r w:rsidRPr="0099132D">
        <w:rPr>
          <w:sz w:val="16"/>
          <w:szCs w:val="16"/>
        </w:rPr>
        <w:t xml:space="preserve"> For standard balance date taxpayers.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4ECC" w14:textId="77777777" w:rsidR="00BA316C" w:rsidRPr="00EB1B21" w:rsidRDefault="00BA316C" w:rsidP="004B6F7D">
    <w:pPr>
      <w:tabs>
        <w:tab w:val="center" w:pos="4253"/>
      </w:tabs>
      <w:rPr>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AF90B" w14:textId="77777777" w:rsidR="00BA316C" w:rsidRDefault="00BA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8230" w14:textId="77777777" w:rsidR="00BA316C" w:rsidRPr="00EB1B21" w:rsidRDefault="00BA316C" w:rsidP="004B6F7D">
    <w:pPr>
      <w:tabs>
        <w:tab w:val="center" w:pos="4253"/>
      </w:tabs>
      <w:rPr>
        <w:b/>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668DE" w14:textId="77777777" w:rsidR="00BA316C" w:rsidRDefault="00BA3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E05"/>
    <w:multiLevelType w:val="multilevel"/>
    <w:tmpl w:val="FACE6EC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538EE"/>
    <w:multiLevelType w:val="hybridMultilevel"/>
    <w:tmpl w:val="826025E6"/>
    <w:lvl w:ilvl="0" w:tplc="6706E432">
      <w:start w:val="1"/>
      <w:numFmt w:val="decimal"/>
      <w:lvlText w:val="7.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3C54F9"/>
    <w:multiLevelType w:val="hybridMultilevel"/>
    <w:tmpl w:val="562AE472"/>
    <w:lvl w:ilvl="0" w:tplc="3BD83D2C">
      <w:start w:val="1"/>
      <w:numFmt w:val="decimal"/>
      <w:lvlText w:val="3.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132AA"/>
    <w:multiLevelType w:val="hybridMultilevel"/>
    <w:tmpl w:val="D096A75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4" w15:restartNumberingAfterBreak="0">
    <w:nsid w:val="1AF153F3"/>
    <w:multiLevelType w:val="multilevel"/>
    <w:tmpl w:val="BBBA628C"/>
    <w:lvl w:ilvl="0">
      <w:start w:val="3"/>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5"/>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1EDB634A"/>
    <w:multiLevelType w:val="multilevel"/>
    <w:tmpl w:val="6DC81B80"/>
    <w:lvl w:ilvl="0">
      <w:start w:val="1"/>
      <w:numFmt w:val="decimal"/>
      <w:lvlText w:val="%1"/>
      <w:lvlJc w:val="left"/>
      <w:pPr>
        <w:ind w:left="555" w:hanging="555"/>
      </w:pPr>
      <w:rPr>
        <w:rFonts w:ascii="Arial" w:eastAsia="Times New Roman" w:hAnsi="Arial" w:cs="Arial"/>
      </w:rPr>
    </w:lvl>
    <w:lvl w:ilvl="1">
      <w:start w:val="1"/>
      <w:numFmt w:val="decimal"/>
      <w:lvlText w:val="%1.%2"/>
      <w:lvlJc w:val="left"/>
      <w:pPr>
        <w:ind w:left="555" w:hanging="555"/>
      </w:pPr>
      <w:rPr>
        <w:rFonts w:hint="default"/>
      </w:rPr>
    </w:lvl>
    <w:lvl w:ilvl="2">
      <w:start w:val="1"/>
      <w:numFmt w:val="decimal"/>
      <w:lvlRestart w:val="1"/>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25B84"/>
    <w:multiLevelType w:val="multilevel"/>
    <w:tmpl w:val="2DF0C94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BA598F"/>
    <w:multiLevelType w:val="multilevel"/>
    <w:tmpl w:val="0BE2315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5317A"/>
    <w:multiLevelType w:val="multilevel"/>
    <w:tmpl w:val="7110F0F4"/>
    <w:lvl w:ilvl="0">
      <w:start w:val="2"/>
      <w:numFmt w:val="decimal"/>
      <w:lvlText w:val="%1"/>
      <w:lvlJc w:val="left"/>
      <w:pPr>
        <w:ind w:left="555" w:hanging="555"/>
      </w:pPr>
      <w:rPr>
        <w:rFonts w:ascii="Arial" w:eastAsia="Times New Roman" w:hAnsi="Arial" w:cs="Arial" w:hint="default"/>
      </w:rPr>
    </w:lvl>
    <w:lvl w:ilvl="1">
      <w:start w:val="1"/>
      <w:numFmt w:val="decimal"/>
      <w:lvlText w:val="%1.%2"/>
      <w:lvlJc w:val="left"/>
      <w:pPr>
        <w:ind w:left="555" w:hanging="555"/>
      </w:pPr>
      <w:rPr>
        <w:rFonts w:hint="default"/>
      </w:rPr>
    </w:lvl>
    <w:lvl w:ilvl="2">
      <w:start w:val="1"/>
      <w:numFmt w:val="decimal"/>
      <w:lvlRestart w:val="1"/>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447BDD"/>
    <w:multiLevelType w:val="hybridMultilevel"/>
    <w:tmpl w:val="90D6D40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6D701FA"/>
    <w:multiLevelType w:val="hybridMultilevel"/>
    <w:tmpl w:val="F3021AEA"/>
    <w:lvl w:ilvl="0" w:tplc="4ED6BFEE">
      <w:start w:val="1"/>
      <w:numFmt w:val="decimal"/>
      <w:lvlText w:val="6.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F978F6"/>
    <w:multiLevelType w:val="multilevel"/>
    <w:tmpl w:val="9918CE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7062B"/>
    <w:multiLevelType w:val="multilevel"/>
    <w:tmpl w:val="300C92F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2"/>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3D7F34"/>
    <w:multiLevelType w:val="hybridMultilevel"/>
    <w:tmpl w:val="F3021AEA"/>
    <w:lvl w:ilvl="0" w:tplc="4ED6BFEE">
      <w:start w:val="1"/>
      <w:numFmt w:val="decimal"/>
      <w:lvlText w:val="6.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D11678"/>
    <w:multiLevelType w:val="multilevel"/>
    <w:tmpl w:val="77DE141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1246F7"/>
    <w:multiLevelType w:val="hybridMultilevel"/>
    <w:tmpl w:val="F3021AEA"/>
    <w:lvl w:ilvl="0" w:tplc="4ED6BFEE">
      <w:start w:val="1"/>
      <w:numFmt w:val="decimal"/>
      <w:lvlText w:val="6.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03A78E3"/>
    <w:multiLevelType w:val="hybridMultilevel"/>
    <w:tmpl w:val="41269F74"/>
    <w:lvl w:ilvl="0" w:tplc="A9A0DB9A">
      <w:start w:val="1"/>
      <w:numFmt w:val="decimal"/>
      <w:lvlText w:val="5.4.%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20E3408"/>
    <w:multiLevelType w:val="hybridMultilevel"/>
    <w:tmpl w:val="AE30E166"/>
    <w:lvl w:ilvl="0" w:tplc="8ACEA6B2">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55A27A0"/>
    <w:multiLevelType w:val="hybridMultilevel"/>
    <w:tmpl w:val="2DEE6D3A"/>
    <w:lvl w:ilvl="0" w:tplc="B57C0B3A">
      <w:start w:val="1"/>
      <w:numFmt w:val="decimal"/>
      <w:lvlText w:val="2.5.%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C3ABF"/>
    <w:multiLevelType w:val="multilevel"/>
    <w:tmpl w:val="08A873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443710"/>
    <w:multiLevelType w:val="hybridMultilevel"/>
    <w:tmpl w:val="3984E9FA"/>
    <w:lvl w:ilvl="0" w:tplc="0D6099EE">
      <w:start w:val="1"/>
      <w:numFmt w:val="decimal"/>
      <w:lvlText w:val="7.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D9C7D57"/>
    <w:multiLevelType w:val="hybridMultilevel"/>
    <w:tmpl w:val="7C1A5FE2"/>
    <w:lvl w:ilvl="0" w:tplc="1C8A5B3E">
      <w:start w:val="1"/>
      <w:numFmt w:val="decimal"/>
      <w:lvlText w:val="7.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B3516E"/>
    <w:multiLevelType w:val="hybridMultilevel"/>
    <w:tmpl w:val="445874E4"/>
    <w:lvl w:ilvl="0" w:tplc="D2409440">
      <w:start w:val="1"/>
      <w:numFmt w:val="decimal"/>
      <w:lvlText w:val="6.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56F2E0D"/>
    <w:multiLevelType w:val="hybridMultilevel"/>
    <w:tmpl w:val="B0AA0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9D194B"/>
    <w:multiLevelType w:val="multilevel"/>
    <w:tmpl w:val="A37C55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Restart w:val="1"/>
      <w:lvlText w:val="%1.%2.%3"/>
      <w:lvlJc w:val="left"/>
      <w:pPr>
        <w:ind w:left="720" w:hanging="720"/>
      </w:pPr>
      <w:rPr>
        <w:rFonts w:hint="default"/>
        <w:b w:val="0"/>
        <w:i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BE20CBB"/>
    <w:multiLevelType w:val="hybridMultilevel"/>
    <w:tmpl w:val="24CABFA0"/>
    <w:lvl w:ilvl="0" w:tplc="75A239AC">
      <w:start w:val="1"/>
      <w:numFmt w:val="decimal"/>
      <w:lvlText w:val="2.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D8B3CC2"/>
    <w:multiLevelType w:val="hybridMultilevel"/>
    <w:tmpl w:val="1F0EACA0"/>
    <w:lvl w:ilvl="0" w:tplc="502C393A">
      <w:start w:val="1"/>
      <w:numFmt w:val="decimal"/>
      <w:lvlText w:val="3.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0106B9F"/>
    <w:multiLevelType w:val="multilevel"/>
    <w:tmpl w:val="1DCA18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216523"/>
    <w:multiLevelType w:val="multilevel"/>
    <w:tmpl w:val="76EC98E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5.%2.%3"/>
      <w:lvlJc w:val="left"/>
      <w:pPr>
        <w:ind w:left="720" w:hanging="720"/>
      </w:pPr>
      <w:rPr>
        <w:rFonts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944A96"/>
    <w:multiLevelType w:val="hybridMultilevel"/>
    <w:tmpl w:val="86B090F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795D4A42"/>
    <w:multiLevelType w:val="hybridMultilevel"/>
    <w:tmpl w:val="E1FC308C"/>
    <w:lvl w:ilvl="0" w:tplc="F39AFE46">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B716C91"/>
    <w:multiLevelType w:val="hybridMultilevel"/>
    <w:tmpl w:val="58B23B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36" w15:restartNumberingAfterBreak="0">
    <w:nsid w:val="7E251885"/>
    <w:multiLevelType w:val="hybridMultilevel"/>
    <w:tmpl w:val="0DDABF84"/>
    <w:lvl w:ilvl="0" w:tplc="A73C534E">
      <w:start w:val="1"/>
      <w:numFmt w:val="decimal"/>
      <w:lvlText w:val="5.3.%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FB52695"/>
    <w:multiLevelType w:val="hybridMultilevel"/>
    <w:tmpl w:val="7C22A434"/>
    <w:lvl w:ilvl="0" w:tplc="27961F34">
      <w:start w:val="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num w:numId="1">
    <w:abstractNumId w:val="28"/>
  </w:num>
  <w:num w:numId="2">
    <w:abstractNumId w:val="19"/>
  </w:num>
  <w:num w:numId="3">
    <w:abstractNumId w:val="21"/>
  </w:num>
  <w:num w:numId="4">
    <w:abstractNumId w:val="11"/>
  </w:num>
  <w:num w:numId="5">
    <w:abstractNumId w:val="26"/>
  </w:num>
  <w:num w:numId="6">
    <w:abstractNumId w:val="33"/>
  </w:num>
  <w:num w:numId="7">
    <w:abstractNumId w:val="34"/>
  </w:num>
  <w:num w:numId="8">
    <w:abstractNumId w:val="9"/>
  </w:num>
  <w:num w:numId="9">
    <w:abstractNumId w:val="32"/>
  </w:num>
  <w:num w:numId="10">
    <w:abstractNumId w:val="13"/>
  </w:num>
  <w:num w:numId="11">
    <w:abstractNumId w:val="27"/>
  </w:num>
  <w:num w:numId="12">
    <w:abstractNumId w:val="27"/>
    <w:lvlOverride w:ilvl="0">
      <w:lvl w:ilvl="0">
        <w:start w:val="1"/>
        <w:numFmt w:val="decimal"/>
        <w:lvlText w:val="%1"/>
        <w:lvlJc w:val="left"/>
        <w:pPr>
          <w:ind w:left="555" w:hanging="555"/>
        </w:pPr>
        <w:rPr>
          <w:rFonts w:hint="default"/>
        </w:rPr>
      </w:lvl>
    </w:lvlOverride>
    <w:lvlOverride w:ilvl="1">
      <w:lvl w:ilvl="1">
        <w:start w:val="1"/>
        <w:numFmt w:val="decimal"/>
        <w:lvlText w:val="%1.%2"/>
        <w:lvlJc w:val="left"/>
        <w:pPr>
          <w:ind w:left="555" w:hanging="555"/>
        </w:pPr>
        <w:rPr>
          <w:rFonts w:hint="default"/>
        </w:rPr>
      </w:lvl>
    </w:lvlOverride>
    <w:lvlOverride w:ilvl="2">
      <w:lvl w:ilvl="2">
        <w:start w:val="1"/>
        <w:numFmt w:val="decimal"/>
        <w:lvlRestart w:val="0"/>
        <w:lvlText w:val="%1.%2.%3"/>
        <w:lvlJc w:val="left"/>
        <w:pPr>
          <w:ind w:left="720" w:hanging="720"/>
        </w:pPr>
        <w:rPr>
          <w:rFonts w:hint="default"/>
          <w:b w:val="0"/>
          <w:i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3">
    <w:abstractNumId w:val="30"/>
  </w:num>
  <w:num w:numId="14">
    <w:abstractNumId w:val="2"/>
  </w:num>
  <w:num w:numId="15">
    <w:abstractNumId w:val="36"/>
  </w:num>
  <w:num w:numId="16">
    <w:abstractNumId w:val="17"/>
  </w:num>
  <w:num w:numId="17">
    <w:abstractNumId w:val="14"/>
  </w:num>
  <w:num w:numId="18">
    <w:abstractNumId w:val="24"/>
  </w:num>
  <w:num w:numId="19">
    <w:abstractNumId w:val="23"/>
  </w:num>
  <w:num w:numId="20">
    <w:abstractNumId w:val="1"/>
  </w:num>
  <w:num w:numId="21">
    <w:abstractNumId w:val="29"/>
  </w:num>
  <w:num w:numId="22">
    <w:abstractNumId w:val="18"/>
  </w:num>
  <w:num w:numId="23">
    <w:abstractNumId w:val="20"/>
  </w:num>
  <w:num w:numId="24">
    <w:abstractNumId w:val="25"/>
  </w:num>
  <w:num w:numId="25">
    <w:abstractNumId w:val="37"/>
  </w:num>
  <w:num w:numId="26">
    <w:abstractNumId w:val="35"/>
  </w:num>
  <w:num w:numId="27">
    <w:abstractNumId w:val="3"/>
  </w:num>
  <w:num w:numId="28">
    <w:abstractNumId w:val="16"/>
  </w:num>
  <w:num w:numId="29">
    <w:abstractNumId w:val="10"/>
  </w:num>
  <w:num w:numId="30">
    <w:abstractNumId w:val="5"/>
  </w:num>
  <w:num w:numId="31">
    <w:abstractNumId w:val="8"/>
  </w:num>
  <w:num w:numId="32">
    <w:abstractNumId w:val="6"/>
  </w:num>
  <w:num w:numId="33">
    <w:abstractNumId w:val="31"/>
  </w:num>
  <w:num w:numId="34">
    <w:abstractNumId w:val="7"/>
  </w:num>
  <w:num w:numId="35">
    <w:abstractNumId w:val="15"/>
  </w:num>
  <w:num w:numId="36">
    <w:abstractNumId w:val="0"/>
  </w:num>
  <w:num w:numId="37">
    <w:abstractNumId w:val="12"/>
  </w:num>
  <w:num w:numId="38">
    <w:abstractNumId w:val="4"/>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209"/>
    <w:rsid w:val="000002FA"/>
    <w:rsid w:val="00012998"/>
    <w:rsid w:val="00013C93"/>
    <w:rsid w:val="0002425B"/>
    <w:rsid w:val="000271A2"/>
    <w:rsid w:val="00030190"/>
    <w:rsid w:val="000325C6"/>
    <w:rsid w:val="00046A04"/>
    <w:rsid w:val="000538FA"/>
    <w:rsid w:val="00053E2D"/>
    <w:rsid w:val="000548CE"/>
    <w:rsid w:val="0005691A"/>
    <w:rsid w:val="00060FFC"/>
    <w:rsid w:val="000626D7"/>
    <w:rsid w:val="00070186"/>
    <w:rsid w:val="00080FED"/>
    <w:rsid w:val="000822DA"/>
    <w:rsid w:val="000951C9"/>
    <w:rsid w:val="000A07C8"/>
    <w:rsid w:val="000A0D4E"/>
    <w:rsid w:val="000A0D73"/>
    <w:rsid w:val="000A20C5"/>
    <w:rsid w:val="000A2B04"/>
    <w:rsid w:val="000B2320"/>
    <w:rsid w:val="000B55DE"/>
    <w:rsid w:val="000B5EA9"/>
    <w:rsid w:val="000B797C"/>
    <w:rsid w:val="000C299F"/>
    <w:rsid w:val="000C4659"/>
    <w:rsid w:val="000C4E26"/>
    <w:rsid w:val="000E00AF"/>
    <w:rsid w:val="000F62E0"/>
    <w:rsid w:val="000F6E41"/>
    <w:rsid w:val="000F720E"/>
    <w:rsid w:val="001049D4"/>
    <w:rsid w:val="001220BD"/>
    <w:rsid w:val="00124FA4"/>
    <w:rsid w:val="00133C59"/>
    <w:rsid w:val="00135B24"/>
    <w:rsid w:val="0013671C"/>
    <w:rsid w:val="00136946"/>
    <w:rsid w:val="0014376F"/>
    <w:rsid w:val="0015027D"/>
    <w:rsid w:val="00155ADE"/>
    <w:rsid w:val="00162E9A"/>
    <w:rsid w:val="00163DD5"/>
    <w:rsid w:val="00167308"/>
    <w:rsid w:val="00167871"/>
    <w:rsid w:val="00171C82"/>
    <w:rsid w:val="00177618"/>
    <w:rsid w:val="001802E8"/>
    <w:rsid w:val="00182F6C"/>
    <w:rsid w:val="00182FAD"/>
    <w:rsid w:val="00184A25"/>
    <w:rsid w:val="00184ABC"/>
    <w:rsid w:val="00186731"/>
    <w:rsid w:val="00192F1A"/>
    <w:rsid w:val="00193917"/>
    <w:rsid w:val="001967D5"/>
    <w:rsid w:val="001A1EA5"/>
    <w:rsid w:val="001B53D7"/>
    <w:rsid w:val="001B65B8"/>
    <w:rsid w:val="001C4B4E"/>
    <w:rsid w:val="001D2D38"/>
    <w:rsid w:val="001D724D"/>
    <w:rsid w:val="001E0042"/>
    <w:rsid w:val="001E166B"/>
    <w:rsid w:val="001E42E8"/>
    <w:rsid w:val="001F559D"/>
    <w:rsid w:val="002060EC"/>
    <w:rsid w:val="00210C3D"/>
    <w:rsid w:val="00212226"/>
    <w:rsid w:val="0022557C"/>
    <w:rsid w:val="0023080B"/>
    <w:rsid w:val="002324F8"/>
    <w:rsid w:val="00235FAD"/>
    <w:rsid w:val="00251175"/>
    <w:rsid w:val="00261DC0"/>
    <w:rsid w:val="0026710B"/>
    <w:rsid w:val="002721DE"/>
    <w:rsid w:val="00274F59"/>
    <w:rsid w:val="00286998"/>
    <w:rsid w:val="0029416F"/>
    <w:rsid w:val="002A1ED1"/>
    <w:rsid w:val="002A428B"/>
    <w:rsid w:val="002A465D"/>
    <w:rsid w:val="002B5EE3"/>
    <w:rsid w:val="002B60A9"/>
    <w:rsid w:val="002B6750"/>
    <w:rsid w:val="002C305B"/>
    <w:rsid w:val="002C3926"/>
    <w:rsid w:val="002D0748"/>
    <w:rsid w:val="002D2932"/>
    <w:rsid w:val="002D5018"/>
    <w:rsid w:val="002D52C3"/>
    <w:rsid w:val="002E117C"/>
    <w:rsid w:val="002E140F"/>
    <w:rsid w:val="002E3773"/>
    <w:rsid w:val="002E466F"/>
    <w:rsid w:val="002F0C8E"/>
    <w:rsid w:val="002F1200"/>
    <w:rsid w:val="002F2536"/>
    <w:rsid w:val="002F7B32"/>
    <w:rsid w:val="00303285"/>
    <w:rsid w:val="003047DA"/>
    <w:rsid w:val="00310839"/>
    <w:rsid w:val="003142AB"/>
    <w:rsid w:val="00327CAA"/>
    <w:rsid w:val="00330AB4"/>
    <w:rsid w:val="0033213D"/>
    <w:rsid w:val="0033231A"/>
    <w:rsid w:val="00347BA1"/>
    <w:rsid w:val="003510E0"/>
    <w:rsid w:val="003657C2"/>
    <w:rsid w:val="00373CD5"/>
    <w:rsid w:val="00384E9B"/>
    <w:rsid w:val="00387B4B"/>
    <w:rsid w:val="00390DC2"/>
    <w:rsid w:val="00397C8D"/>
    <w:rsid w:val="003A58DC"/>
    <w:rsid w:val="003B6198"/>
    <w:rsid w:val="003C61B5"/>
    <w:rsid w:val="003C78E9"/>
    <w:rsid w:val="003D778F"/>
    <w:rsid w:val="003F19ED"/>
    <w:rsid w:val="003F2F6F"/>
    <w:rsid w:val="003F6E58"/>
    <w:rsid w:val="00400733"/>
    <w:rsid w:val="004008A9"/>
    <w:rsid w:val="00401E3C"/>
    <w:rsid w:val="00405E5B"/>
    <w:rsid w:val="00405F24"/>
    <w:rsid w:val="0041056D"/>
    <w:rsid w:val="0041278D"/>
    <w:rsid w:val="004156A4"/>
    <w:rsid w:val="0041785C"/>
    <w:rsid w:val="00421D7F"/>
    <w:rsid w:val="00425E0F"/>
    <w:rsid w:val="00430835"/>
    <w:rsid w:val="004315E6"/>
    <w:rsid w:val="00434211"/>
    <w:rsid w:val="004343C8"/>
    <w:rsid w:val="004421D8"/>
    <w:rsid w:val="00447126"/>
    <w:rsid w:val="004551AE"/>
    <w:rsid w:val="00463310"/>
    <w:rsid w:val="004642F5"/>
    <w:rsid w:val="0046788F"/>
    <w:rsid w:val="0047179F"/>
    <w:rsid w:val="00471992"/>
    <w:rsid w:val="004736C7"/>
    <w:rsid w:val="00487FAD"/>
    <w:rsid w:val="0049234F"/>
    <w:rsid w:val="0049467D"/>
    <w:rsid w:val="00497F76"/>
    <w:rsid w:val="004A1188"/>
    <w:rsid w:val="004A11FC"/>
    <w:rsid w:val="004A4084"/>
    <w:rsid w:val="004B21C2"/>
    <w:rsid w:val="004B5E91"/>
    <w:rsid w:val="004B6F7D"/>
    <w:rsid w:val="004B7BD3"/>
    <w:rsid w:val="004C4352"/>
    <w:rsid w:val="004D2AED"/>
    <w:rsid w:val="004D4547"/>
    <w:rsid w:val="004D5AF6"/>
    <w:rsid w:val="004D63CD"/>
    <w:rsid w:val="004E57D5"/>
    <w:rsid w:val="004F2DFB"/>
    <w:rsid w:val="004F5B65"/>
    <w:rsid w:val="004F5CFD"/>
    <w:rsid w:val="005037E6"/>
    <w:rsid w:val="00523D6A"/>
    <w:rsid w:val="00537EFE"/>
    <w:rsid w:val="0054209C"/>
    <w:rsid w:val="00543648"/>
    <w:rsid w:val="005445B6"/>
    <w:rsid w:val="00547323"/>
    <w:rsid w:val="00552A37"/>
    <w:rsid w:val="00564156"/>
    <w:rsid w:val="005726B5"/>
    <w:rsid w:val="00573AB4"/>
    <w:rsid w:val="005843AC"/>
    <w:rsid w:val="00584557"/>
    <w:rsid w:val="005910ED"/>
    <w:rsid w:val="005A0B65"/>
    <w:rsid w:val="005A1106"/>
    <w:rsid w:val="005A3AE1"/>
    <w:rsid w:val="005B27FB"/>
    <w:rsid w:val="005B5305"/>
    <w:rsid w:val="005C487B"/>
    <w:rsid w:val="005C579C"/>
    <w:rsid w:val="005C6460"/>
    <w:rsid w:val="005C67E1"/>
    <w:rsid w:val="005D178F"/>
    <w:rsid w:val="005D3C07"/>
    <w:rsid w:val="005D6D42"/>
    <w:rsid w:val="005F143B"/>
    <w:rsid w:val="005F3632"/>
    <w:rsid w:val="005F38C9"/>
    <w:rsid w:val="005F6E06"/>
    <w:rsid w:val="005F70B6"/>
    <w:rsid w:val="005F7FB6"/>
    <w:rsid w:val="00606813"/>
    <w:rsid w:val="00614901"/>
    <w:rsid w:val="00616FA7"/>
    <w:rsid w:val="006172F1"/>
    <w:rsid w:val="0062657E"/>
    <w:rsid w:val="006266A5"/>
    <w:rsid w:val="00632F4E"/>
    <w:rsid w:val="00634B88"/>
    <w:rsid w:val="00642209"/>
    <w:rsid w:val="0065045F"/>
    <w:rsid w:val="00663BAA"/>
    <w:rsid w:val="00670B15"/>
    <w:rsid w:val="006767B7"/>
    <w:rsid w:val="00687C12"/>
    <w:rsid w:val="006943B3"/>
    <w:rsid w:val="00697A69"/>
    <w:rsid w:val="006A55EB"/>
    <w:rsid w:val="006A7CFA"/>
    <w:rsid w:val="006B4791"/>
    <w:rsid w:val="006C1313"/>
    <w:rsid w:val="006C184B"/>
    <w:rsid w:val="006C42CD"/>
    <w:rsid w:val="006C4D84"/>
    <w:rsid w:val="006D0295"/>
    <w:rsid w:val="006D03F1"/>
    <w:rsid w:val="006D2AF3"/>
    <w:rsid w:val="006D4FA0"/>
    <w:rsid w:val="006E05AE"/>
    <w:rsid w:val="006F0B73"/>
    <w:rsid w:val="006F3E62"/>
    <w:rsid w:val="006F502C"/>
    <w:rsid w:val="00706515"/>
    <w:rsid w:val="00706A66"/>
    <w:rsid w:val="00711E49"/>
    <w:rsid w:val="00712EC7"/>
    <w:rsid w:val="007245C5"/>
    <w:rsid w:val="00726578"/>
    <w:rsid w:val="00731FAE"/>
    <w:rsid w:val="00733859"/>
    <w:rsid w:val="0073701A"/>
    <w:rsid w:val="0074443D"/>
    <w:rsid w:val="007529A8"/>
    <w:rsid w:val="007556AD"/>
    <w:rsid w:val="0077599D"/>
    <w:rsid w:val="0077697E"/>
    <w:rsid w:val="007833D2"/>
    <w:rsid w:val="00785271"/>
    <w:rsid w:val="0079669D"/>
    <w:rsid w:val="007A35BB"/>
    <w:rsid w:val="007A39C2"/>
    <w:rsid w:val="007B024A"/>
    <w:rsid w:val="007B0612"/>
    <w:rsid w:val="007B090A"/>
    <w:rsid w:val="007B0A92"/>
    <w:rsid w:val="007B1E67"/>
    <w:rsid w:val="007B6890"/>
    <w:rsid w:val="007C465F"/>
    <w:rsid w:val="007C6348"/>
    <w:rsid w:val="007D1E66"/>
    <w:rsid w:val="007D59F2"/>
    <w:rsid w:val="007D5EE8"/>
    <w:rsid w:val="007E2E0E"/>
    <w:rsid w:val="007E4821"/>
    <w:rsid w:val="007F0ED1"/>
    <w:rsid w:val="008027D7"/>
    <w:rsid w:val="00807E2C"/>
    <w:rsid w:val="00811655"/>
    <w:rsid w:val="00813D4E"/>
    <w:rsid w:val="00817EBB"/>
    <w:rsid w:val="0082413D"/>
    <w:rsid w:val="008246BA"/>
    <w:rsid w:val="00825968"/>
    <w:rsid w:val="00827D41"/>
    <w:rsid w:val="008315BA"/>
    <w:rsid w:val="00831CFB"/>
    <w:rsid w:val="00832767"/>
    <w:rsid w:val="00835548"/>
    <w:rsid w:val="008458C1"/>
    <w:rsid w:val="0085013E"/>
    <w:rsid w:val="008518CE"/>
    <w:rsid w:val="0085212E"/>
    <w:rsid w:val="008603C7"/>
    <w:rsid w:val="0086576C"/>
    <w:rsid w:val="00882849"/>
    <w:rsid w:val="00884C73"/>
    <w:rsid w:val="00890436"/>
    <w:rsid w:val="0089454D"/>
    <w:rsid w:val="008C12F3"/>
    <w:rsid w:val="008C4A12"/>
    <w:rsid w:val="008C69EC"/>
    <w:rsid w:val="008C7BB4"/>
    <w:rsid w:val="008D265C"/>
    <w:rsid w:val="008D5B0D"/>
    <w:rsid w:val="008F02B0"/>
    <w:rsid w:val="008F10F1"/>
    <w:rsid w:val="008F37A0"/>
    <w:rsid w:val="008F6969"/>
    <w:rsid w:val="008F6E52"/>
    <w:rsid w:val="009002C3"/>
    <w:rsid w:val="00905BFC"/>
    <w:rsid w:val="00905F97"/>
    <w:rsid w:val="009066A5"/>
    <w:rsid w:val="009104D7"/>
    <w:rsid w:val="00910F88"/>
    <w:rsid w:val="009123A6"/>
    <w:rsid w:val="009125FB"/>
    <w:rsid w:val="00912752"/>
    <w:rsid w:val="00922229"/>
    <w:rsid w:val="009252D1"/>
    <w:rsid w:val="00932544"/>
    <w:rsid w:val="00934694"/>
    <w:rsid w:val="009435C4"/>
    <w:rsid w:val="00950506"/>
    <w:rsid w:val="00951858"/>
    <w:rsid w:val="00960617"/>
    <w:rsid w:val="00961152"/>
    <w:rsid w:val="0096578F"/>
    <w:rsid w:val="00966144"/>
    <w:rsid w:val="00970B59"/>
    <w:rsid w:val="00970E56"/>
    <w:rsid w:val="0097173F"/>
    <w:rsid w:val="00971A61"/>
    <w:rsid w:val="00984A4A"/>
    <w:rsid w:val="00984EA1"/>
    <w:rsid w:val="00985C8D"/>
    <w:rsid w:val="0099132D"/>
    <w:rsid w:val="00991705"/>
    <w:rsid w:val="00991E5D"/>
    <w:rsid w:val="009927C0"/>
    <w:rsid w:val="00993DD9"/>
    <w:rsid w:val="009A1323"/>
    <w:rsid w:val="009A331F"/>
    <w:rsid w:val="009B05A3"/>
    <w:rsid w:val="009B0796"/>
    <w:rsid w:val="009B274F"/>
    <w:rsid w:val="009B3549"/>
    <w:rsid w:val="009B36D8"/>
    <w:rsid w:val="009C2397"/>
    <w:rsid w:val="009C4129"/>
    <w:rsid w:val="009D5468"/>
    <w:rsid w:val="009E419F"/>
    <w:rsid w:val="009E546D"/>
    <w:rsid w:val="009E6DE4"/>
    <w:rsid w:val="009F133B"/>
    <w:rsid w:val="00A03E72"/>
    <w:rsid w:val="00A04B08"/>
    <w:rsid w:val="00A0616B"/>
    <w:rsid w:val="00A15F92"/>
    <w:rsid w:val="00A20BA4"/>
    <w:rsid w:val="00A241F1"/>
    <w:rsid w:val="00A261D6"/>
    <w:rsid w:val="00A27611"/>
    <w:rsid w:val="00A355C6"/>
    <w:rsid w:val="00A36BCB"/>
    <w:rsid w:val="00A37F39"/>
    <w:rsid w:val="00A428E6"/>
    <w:rsid w:val="00A512E9"/>
    <w:rsid w:val="00A70775"/>
    <w:rsid w:val="00A80A04"/>
    <w:rsid w:val="00A81CA9"/>
    <w:rsid w:val="00A9052B"/>
    <w:rsid w:val="00A91104"/>
    <w:rsid w:val="00A930AF"/>
    <w:rsid w:val="00A9349A"/>
    <w:rsid w:val="00AA2956"/>
    <w:rsid w:val="00AA6A54"/>
    <w:rsid w:val="00AB3974"/>
    <w:rsid w:val="00AB517E"/>
    <w:rsid w:val="00AB680D"/>
    <w:rsid w:val="00AB7FA8"/>
    <w:rsid w:val="00AC1448"/>
    <w:rsid w:val="00AC623A"/>
    <w:rsid w:val="00AF742F"/>
    <w:rsid w:val="00B016FA"/>
    <w:rsid w:val="00B01ECB"/>
    <w:rsid w:val="00B05307"/>
    <w:rsid w:val="00B06C53"/>
    <w:rsid w:val="00B15549"/>
    <w:rsid w:val="00B2239E"/>
    <w:rsid w:val="00B27E59"/>
    <w:rsid w:val="00B43E60"/>
    <w:rsid w:val="00B4748C"/>
    <w:rsid w:val="00B56168"/>
    <w:rsid w:val="00B63517"/>
    <w:rsid w:val="00B6506E"/>
    <w:rsid w:val="00B65A20"/>
    <w:rsid w:val="00B6693F"/>
    <w:rsid w:val="00B803C0"/>
    <w:rsid w:val="00B8492F"/>
    <w:rsid w:val="00B856F7"/>
    <w:rsid w:val="00B917E0"/>
    <w:rsid w:val="00BA1282"/>
    <w:rsid w:val="00BA1CB8"/>
    <w:rsid w:val="00BA316C"/>
    <w:rsid w:val="00BA7788"/>
    <w:rsid w:val="00BB04B4"/>
    <w:rsid w:val="00BB136A"/>
    <w:rsid w:val="00BB321B"/>
    <w:rsid w:val="00BB5537"/>
    <w:rsid w:val="00BC09D5"/>
    <w:rsid w:val="00BC3EA0"/>
    <w:rsid w:val="00BD62B7"/>
    <w:rsid w:val="00BE36E3"/>
    <w:rsid w:val="00BE61D5"/>
    <w:rsid w:val="00BF0DF1"/>
    <w:rsid w:val="00C04934"/>
    <w:rsid w:val="00C0786F"/>
    <w:rsid w:val="00C0796B"/>
    <w:rsid w:val="00C12650"/>
    <w:rsid w:val="00C17661"/>
    <w:rsid w:val="00C20E76"/>
    <w:rsid w:val="00C279F5"/>
    <w:rsid w:val="00C30216"/>
    <w:rsid w:val="00C3263C"/>
    <w:rsid w:val="00C3355F"/>
    <w:rsid w:val="00C34B7B"/>
    <w:rsid w:val="00C40A1C"/>
    <w:rsid w:val="00C45633"/>
    <w:rsid w:val="00C64C58"/>
    <w:rsid w:val="00C705FE"/>
    <w:rsid w:val="00C81209"/>
    <w:rsid w:val="00C825AB"/>
    <w:rsid w:val="00C82729"/>
    <w:rsid w:val="00C8433B"/>
    <w:rsid w:val="00C84C18"/>
    <w:rsid w:val="00C85643"/>
    <w:rsid w:val="00C9513B"/>
    <w:rsid w:val="00CA4E90"/>
    <w:rsid w:val="00CB06D3"/>
    <w:rsid w:val="00CB262D"/>
    <w:rsid w:val="00CC66F6"/>
    <w:rsid w:val="00CD7BB0"/>
    <w:rsid w:val="00CD7E4C"/>
    <w:rsid w:val="00CE27AD"/>
    <w:rsid w:val="00CE5474"/>
    <w:rsid w:val="00D02767"/>
    <w:rsid w:val="00D15ADE"/>
    <w:rsid w:val="00D278AA"/>
    <w:rsid w:val="00D3200D"/>
    <w:rsid w:val="00D45643"/>
    <w:rsid w:val="00D45B80"/>
    <w:rsid w:val="00D479EF"/>
    <w:rsid w:val="00D47E19"/>
    <w:rsid w:val="00D60F66"/>
    <w:rsid w:val="00D615A7"/>
    <w:rsid w:val="00D7086D"/>
    <w:rsid w:val="00D72885"/>
    <w:rsid w:val="00D923B2"/>
    <w:rsid w:val="00DA18DA"/>
    <w:rsid w:val="00DA2762"/>
    <w:rsid w:val="00DC341E"/>
    <w:rsid w:val="00DC36FB"/>
    <w:rsid w:val="00DD7964"/>
    <w:rsid w:val="00DE0369"/>
    <w:rsid w:val="00DE0A47"/>
    <w:rsid w:val="00DF18A6"/>
    <w:rsid w:val="00DF2E7B"/>
    <w:rsid w:val="00E2098C"/>
    <w:rsid w:val="00E279F3"/>
    <w:rsid w:val="00E30FC3"/>
    <w:rsid w:val="00E3519B"/>
    <w:rsid w:val="00E363CC"/>
    <w:rsid w:val="00E41D9A"/>
    <w:rsid w:val="00E466E8"/>
    <w:rsid w:val="00E54E93"/>
    <w:rsid w:val="00E6099C"/>
    <w:rsid w:val="00E652BF"/>
    <w:rsid w:val="00E6631F"/>
    <w:rsid w:val="00E709E0"/>
    <w:rsid w:val="00E74CC1"/>
    <w:rsid w:val="00E9470C"/>
    <w:rsid w:val="00EA47FE"/>
    <w:rsid w:val="00EA5924"/>
    <w:rsid w:val="00EB0D54"/>
    <w:rsid w:val="00EB6AD8"/>
    <w:rsid w:val="00EC2D87"/>
    <w:rsid w:val="00EC7A44"/>
    <w:rsid w:val="00ED2E63"/>
    <w:rsid w:val="00EE3214"/>
    <w:rsid w:val="00EF1F78"/>
    <w:rsid w:val="00EF40E0"/>
    <w:rsid w:val="00EF508E"/>
    <w:rsid w:val="00F03C46"/>
    <w:rsid w:val="00F10F9E"/>
    <w:rsid w:val="00F170FA"/>
    <w:rsid w:val="00F228D8"/>
    <w:rsid w:val="00F31012"/>
    <w:rsid w:val="00F33D90"/>
    <w:rsid w:val="00F40888"/>
    <w:rsid w:val="00F42D05"/>
    <w:rsid w:val="00F6363B"/>
    <w:rsid w:val="00F637B2"/>
    <w:rsid w:val="00F64797"/>
    <w:rsid w:val="00F64A5F"/>
    <w:rsid w:val="00F87539"/>
    <w:rsid w:val="00F90B5D"/>
    <w:rsid w:val="00F91B9E"/>
    <w:rsid w:val="00FA0895"/>
    <w:rsid w:val="00FA1A5E"/>
    <w:rsid w:val="00FA24D7"/>
    <w:rsid w:val="00FA60B6"/>
    <w:rsid w:val="00FA7EFC"/>
    <w:rsid w:val="00FB5383"/>
    <w:rsid w:val="00FC0C78"/>
    <w:rsid w:val="00FD020E"/>
    <w:rsid w:val="00FD3FEF"/>
    <w:rsid w:val="00FD4C6C"/>
    <w:rsid w:val="00FE1832"/>
    <w:rsid w:val="00FF1C4D"/>
    <w:rsid w:val="00FF1F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8E821"/>
  <w15:docId w15:val="{6AD0F0D7-BAB0-4D14-B6B6-C565A17B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EA0"/>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05691A"/>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BC3EA0"/>
    <w:pPr>
      <w:spacing w:before="200"/>
      <w:outlineLvl w:val="2"/>
    </w:pPr>
    <w:rPr>
      <w:sz w:val="24"/>
      <w:szCs w:val="22"/>
    </w:rPr>
  </w:style>
  <w:style w:type="paragraph" w:styleId="Heading4">
    <w:name w:val="heading 4"/>
    <w:basedOn w:val="Normal"/>
    <w:next w:val="Normal"/>
    <w:link w:val="Heading4Char"/>
    <w:qFormat/>
    <w:rsid w:val="00BC3EA0"/>
    <w:pPr>
      <w:spacing w:before="120" w:after="200" w:line="240" w:lineRule="auto"/>
      <w:outlineLvl w:val="3"/>
    </w:pPr>
    <w:rPr>
      <w:b/>
      <w:bCs/>
      <w:color w:val="335087"/>
      <w:sz w:val="20"/>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FA7EFC"/>
    <w:pPr>
      <w:spacing w:after="0" w:line="240" w:lineRule="auto"/>
      <w:ind w:left="-1985"/>
      <w:jc w:val="right"/>
    </w:pPr>
    <w:rPr>
      <w:noProof/>
      <w:color w:val="0082AB"/>
      <w:spacing w:val="6"/>
      <w:sz w:val="16"/>
      <w:szCs w:val="16"/>
    </w:rPr>
  </w:style>
  <w:style w:type="character" w:customStyle="1" w:styleId="FooterChar">
    <w:name w:val="Footer Char"/>
    <w:link w:val="Footer"/>
    <w:rsid w:val="00FA7EFC"/>
    <w:rPr>
      <w:rFonts w:ascii="Arial" w:eastAsia="Times New Roman" w:hAnsi="Arial" w:cs="Times New Roman"/>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basedOn w:val="Normal"/>
    <w:uiPriority w:val="34"/>
    <w:qFormat/>
    <w:rsid w:val="00D278AA"/>
    <w:pPr>
      <w:ind w:left="720"/>
      <w:contextualSpacing/>
    </w:pPr>
  </w:style>
  <w:style w:type="character" w:styleId="Hyperlink">
    <w:name w:val="Hyperlink"/>
    <w:uiPriority w:val="99"/>
    <w:rsid w:val="00537EFE"/>
    <w:rPr>
      <w:color w:val="0082AB"/>
      <w:u w:val="single"/>
    </w:rPr>
  </w:style>
  <w:style w:type="character" w:styleId="CommentReference">
    <w:name w:val="annotation reference"/>
    <w:semiHidden/>
    <w:rsid w:val="00BC3EA0"/>
    <w:rPr>
      <w:sz w:val="16"/>
      <w:szCs w:val="16"/>
    </w:rPr>
  </w:style>
  <w:style w:type="paragraph" w:styleId="CommentText">
    <w:name w:val="annotation text"/>
    <w:basedOn w:val="Normal"/>
    <w:link w:val="CommentTextChar"/>
    <w:semiHidden/>
    <w:rsid w:val="00BC3EA0"/>
    <w:rPr>
      <w:sz w:val="20"/>
    </w:rPr>
  </w:style>
  <w:style w:type="character" w:customStyle="1" w:styleId="CommentTextChar">
    <w:name w:val="Comment Text Char"/>
    <w:link w:val="CommentText"/>
    <w:semiHidden/>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2"/>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3"/>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4"/>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pPr>
      <w:jc w:val="left"/>
    </w:pPr>
  </w:style>
  <w:style w:type="paragraph" w:customStyle="1" w:styleId="Evenfooter-wide">
    <w:name w:val="Even footer-wide"/>
    <w:basedOn w:val="EvenFooter"/>
    <w:rsid w:val="00BC3EA0"/>
  </w:style>
  <w:style w:type="character" w:styleId="FootnoteReference">
    <w:name w:val="footnote reference"/>
    <w:semiHidden/>
    <w:rsid w:val="00BC3EA0"/>
    <w:rPr>
      <w:rFonts w:ascii="Arial" w:hAnsi="Arial"/>
      <w:color w:val="auto"/>
      <w:position w:val="8"/>
      <w:sz w:val="16"/>
    </w:rPr>
  </w:style>
  <w:style w:type="paragraph" w:styleId="FootnoteText">
    <w:name w:val="footnote text"/>
    <w:basedOn w:val="Normal"/>
    <w:link w:val="FootnoteTextChar"/>
    <w:semiHidden/>
    <w:rsid w:val="00BC3EA0"/>
    <w:pPr>
      <w:tabs>
        <w:tab w:val="left" w:pos="425"/>
      </w:tabs>
      <w:spacing w:after="60" w:line="240" w:lineRule="auto"/>
      <w:ind w:left="425" w:hanging="425"/>
    </w:pPr>
    <w:rPr>
      <w:sz w:val="18"/>
    </w:rPr>
  </w:style>
  <w:style w:type="character" w:customStyle="1" w:styleId="FootnoteTextChar">
    <w:name w:val="Footnote Text Char"/>
    <w:link w:val="FootnoteText"/>
    <w:semiHidden/>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05691A"/>
    <w:rPr>
      <w:rFonts w:ascii="Arial" w:eastAsia="Times New Roman" w:hAnsi="Arial" w:cs="Times New Roman"/>
      <w:b/>
      <w:color w:val="0082AB"/>
      <w:spacing w:val="20"/>
      <w:w w:val="90"/>
      <w:sz w:val="32"/>
      <w:szCs w:val="24"/>
      <w:lang w:val="en-GB" w:eastAsia="en-GB"/>
    </w:rPr>
  </w:style>
  <w:style w:type="character" w:customStyle="1" w:styleId="Heading3Char">
    <w:name w:val="Heading 3 Char"/>
    <w:link w:val="Heading3"/>
    <w:rsid w:val="00BC3EA0"/>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BC3EA0"/>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RBodyText">
    <w:name w:val="_TRBody Text"/>
    <w:rsid w:val="00070186"/>
    <w:pPr>
      <w:spacing w:line="300" w:lineRule="atLeast"/>
      <w:jc w:val="both"/>
    </w:pPr>
    <w:rPr>
      <w:rFonts w:ascii="Times New Roman" w:eastAsia="Times New Roman" w:hAnsi="Times New Roman"/>
      <w:sz w:val="24"/>
      <w:lang w:eastAsia="en-AU"/>
    </w:rPr>
  </w:style>
  <w:style w:type="character" w:styleId="Strong">
    <w:name w:val="Strong"/>
    <w:basedOn w:val="DefaultParagraphFont"/>
    <w:uiPriority w:val="22"/>
    <w:qFormat/>
    <w:rsid w:val="005A1106"/>
    <w:rPr>
      <w:b/>
      <w:bCs/>
    </w:rPr>
  </w:style>
  <w:style w:type="paragraph" w:customStyle="1" w:styleId="Default">
    <w:name w:val="Default"/>
    <w:rsid w:val="003C78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20402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taxworkinggroup.govt.nz/terms-of-reference/" TargetMode="External"/><Relationship Id="rId2" Type="http://schemas.openxmlformats.org/officeDocument/2006/relationships/hyperlink" Target="https://www.barfoot.co.nz/market-reports/2017/december/changes-in-gross-yield" TargetMode="External"/><Relationship Id="rId1" Type="http://schemas.openxmlformats.org/officeDocument/2006/relationships/hyperlink" Target="https://www.stats.govt.nz/information-releases/dwelling-and-household-estimates-december-2017-quarter" TargetMode="External"/><Relationship Id="rId4" Type="http://schemas.openxmlformats.org/officeDocument/2006/relationships/hyperlink" Target="https://www.beehive.govt.nz/release/towards-fairer-tax-system-tax-working-group-terms-reference-annou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9631</Words>
  <Characters>51821</Characters>
  <Application>Microsoft Office Word</Application>
  <DocSecurity>0</DocSecurity>
  <Lines>1036</Lines>
  <Paragraphs>399</Paragraphs>
  <ScaleCrop>false</ScaleCrop>
  <HeadingPairs>
    <vt:vector size="2" baseType="variant">
      <vt:variant>
        <vt:lpstr>Title</vt:lpstr>
      </vt:variant>
      <vt:variant>
        <vt:i4>1</vt:i4>
      </vt:variant>
    </vt:vector>
  </HeadingPairs>
  <TitlesOfParts>
    <vt:vector size="1" baseType="lpstr">
      <vt:lpstr>Regulatory impact assessment - Ring-fencing rental losses (1 August 2018)</vt:lpstr>
    </vt:vector>
  </TitlesOfParts>
  <Company>Inland Revenue + The Treasury</Company>
  <LinksUpToDate>false</LinksUpToDate>
  <CharactersWithSpaces>61053</CharactersWithSpaces>
  <SharedDoc>false</SharedDoc>
  <HLinks>
    <vt:vector size="54" baseType="variant">
      <vt:variant>
        <vt:i4>2687029</vt:i4>
      </vt:variant>
      <vt:variant>
        <vt:i4>24</vt:i4>
      </vt:variant>
      <vt:variant>
        <vt:i4>0</vt:i4>
      </vt:variant>
      <vt:variant>
        <vt:i4>5</vt:i4>
      </vt:variant>
      <vt:variant>
        <vt:lpwstr>http://www.treasury.govt.nz/regulation/expectations</vt:lpwstr>
      </vt:variant>
      <vt:variant>
        <vt:lpwstr/>
      </vt:variant>
      <vt:variant>
        <vt:i4>2687029</vt:i4>
      </vt:variant>
      <vt:variant>
        <vt:i4>21</vt:i4>
      </vt:variant>
      <vt:variant>
        <vt:i4>0</vt:i4>
      </vt:variant>
      <vt:variant>
        <vt:i4>5</vt:i4>
      </vt:variant>
      <vt:variant>
        <vt:lpwstr>http://www.treasury.govt.nz/regulation/expectations</vt:lpwstr>
      </vt:variant>
      <vt:variant>
        <vt:lpwstr/>
      </vt:variant>
      <vt:variant>
        <vt:i4>8257662</vt:i4>
      </vt:variant>
      <vt:variant>
        <vt:i4>18</vt:i4>
      </vt:variant>
      <vt:variant>
        <vt:i4>0</vt:i4>
      </vt:variant>
      <vt:variant>
        <vt:i4>5</vt:i4>
      </vt:variant>
      <vt:variant>
        <vt:lpwstr>http://www.treasury.govt.nz/publications/guidance/planning/costbenefitanalysis</vt:lpwstr>
      </vt:variant>
      <vt:variant>
        <vt:lpwstr/>
      </vt:variant>
      <vt:variant>
        <vt:i4>2949239</vt:i4>
      </vt:variant>
      <vt:variant>
        <vt:i4>15</vt:i4>
      </vt:variant>
      <vt:variant>
        <vt:i4>0</vt:i4>
      </vt:variant>
      <vt:variant>
        <vt:i4>5</vt:i4>
      </vt:variant>
      <vt:variant>
        <vt:lpwstr>http://www.treasury.govt.nz/publications/guidance/planning/costbenefitanalysis/x/x-guide-oct15.pdf</vt:lpwstr>
      </vt:variant>
      <vt:variant>
        <vt:lpwstr/>
      </vt:variant>
      <vt:variant>
        <vt:i4>2687029</vt:i4>
      </vt:variant>
      <vt:variant>
        <vt:i4>12</vt:i4>
      </vt:variant>
      <vt:variant>
        <vt:i4>0</vt:i4>
      </vt:variant>
      <vt:variant>
        <vt:i4>5</vt:i4>
      </vt:variant>
      <vt:variant>
        <vt:lpwstr>http://www.treasury.govt.nz/regulation/expectations</vt:lpwstr>
      </vt:variant>
      <vt:variant>
        <vt:lpwstr/>
      </vt:variant>
      <vt:variant>
        <vt:i4>4128805</vt:i4>
      </vt:variant>
      <vt:variant>
        <vt:i4>9</vt:i4>
      </vt:variant>
      <vt:variant>
        <vt:i4>0</vt:i4>
      </vt:variant>
      <vt:variant>
        <vt:i4>5</vt:i4>
      </vt:variant>
      <vt:variant>
        <vt:lpwstr>http://www.treasury.govt.nz/regulation/regulatoryproposal/ria/handbook</vt:lpwstr>
      </vt:variant>
      <vt:variant>
        <vt:lpwstr/>
      </vt:variant>
      <vt:variant>
        <vt:i4>2687029</vt:i4>
      </vt:variant>
      <vt:variant>
        <vt:i4>6</vt:i4>
      </vt:variant>
      <vt:variant>
        <vt:i4>0</vt:i4>
      </vt:variant>
      <vt:variant>
        <vt:i4>5</vt:i4>
      </vt:variant>
      <vt:variant>
        <vt:lpwstr>http://www.treasury.govt.nz/regulation/expectations</vt:lpwstr>
      </vt:variant>
      <vt:variant>
        <vt:lpwstr/>
      </vt:variant>
      <vt:variant>
        <vt:i4>4128805</vt:i4>
      </vt:variant>
      <vt:variant>
        <vt:i4>3</vt:i4>
      </vt:variant>
      <vt:variant>
        <vt:i4>0</vt:i4>
      </vt:variant>
      <vt:variant>
        <vt:i4>5</vt:i4>
      </vt:variant>
      <vt:variant>
        <vt:lpwstr>http://www.treasury.govt.nz/regulation/regulatoryproposal/ria/handbook</vt:lpwstr>
      </vt:variant>
      <vt:variant>
        <vt:lpwstr/>
      </vt:variant>
      <vt:variant>
        <vt:i4>3801155</vt:i4>
      </vt:variant>
      <vt:variant>
        <vt:i4>0</vt:i4>
      </vt:variant>
      <vt:variant>
        <vt:i4>0</vt:i4>
      </vt:variant>
      <vt:variant>
        <vt:i4>5</vt:i4>
      </vt:variant>
      <vt:variant>
        <vt:lpwstr>mailto:ria@treasury.govt.nz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Ring-fencing rental losses (1 August 2018)</dc:title>
  <dc:creator/>
  <dc:description>Published December 2018.</dc:description>
  <dcterms:created xsi:type="dcterms:W3CDTF">2018-11-29T21:41:00Z</dcterms:created>
  <dcterms:modified xsi:type="dcterms:W3CDTF">2018-11-29T21:43:00Z</dcterms:modified>
</cp:coreProperties>
</file>