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12C33" w14:textId="78D96B5B" w:rsidR="00E92509" w:rsidRPr="00796E63" w:rsidRDefault="00BA08C7" w:rsidP="006F1EFF">
      <w:pPr>
        <w:pStyle w:val="Heading1"/>
        <w:spacing w:before="0" w:after="120"/>
        <w:rPr>
          <w:sz w:val="36"/>
          <w:szCs w:val="36"/>
        </w:rPr>
      </w:pPr>
      <w:bookmarkStart w:id="0" w:name="_GoBack"/>
      <w:bookmarkEnd w:id="0"/>
      <w:r w:rsidRPr="00796E63">
        <w:rPr>
          <w:sz w:val="36"/>
          <w:szCs w:val="36"/>
        </w:rPr>
        <w:t>Impact Summary</w:t>
      </w:r>
      <w:r w:rsidR="00783846" w:rsidRPr="00796E63">
        <w:rPr>
          <w:sz w:val="36"/>
          <w:szCs w:val="36"/>
        </w:rPr>
        <w:t>:</w:t>
      </w:r>
      <w:r w:rsidR="007C77B1" w:rsidRPr="00796E63">
        <w:rPr>
          <w:sz w:val="36"/>
          <w:szCs w:val="36"/>
        </w:rPr>
        <w:t xml:space="preserve"> </w:t>
      </w:r>
      <w:r w:rsidR="00BC7C29" w:rsidRPr="00796E63">
        <w:rPr>
          <w:i/>
          <w:sz w:val="36"/>
          <w:szCs w:val="36"/>
        </w:rPr>
        <w:t xml:space="preserve">Student Loans: </w:t>
      </w:r>
      <w:r w:rsidR="00F522AE" w:rsidRPr="00796E63">
        <w:rPr>
          <w:i/>
          <w:sz w:val="36"/>
          <w:szCs w:val="36"/>
        </w:rPr>
        <w:t>Limiting Student Loan Scheme rules relating to the 2013 and prior years</w:t>
      </w:r>
    </w:p>
    <w:p w14:paraId="5F495919" w14:textId="77777777" w:rsidR="00E92509" w:rsidRPr="006F1EFF" w:rsidRDefault="00E92509" w:rsidP="006F1EFF">
      <w:pPr>
        <w:pStyle w:val="Heading2"/>
      </w:pPr>
      <w:r w:rsidRPr="006F1EFF">
        <w:t>Section 1: 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A39FD" w:rsidRPr="0069218C" w14:paraId="45DF6D9C" w14:textId="77777777" w:rsidTr="00B05A17">
        <w:tc>
          <w:tcPr>
            <w:tcW w:w="5000" w:type="pct"/>
            <w:shd w:val="clear" w:color="auto" w:fill="99CDDD"/>
            <w:hideMark/>
          </w:tcPr>
          <w:p w14:paraId="1BEBF33F" w14:textId="77777777" w:rsidR="00DA39FD" w:rsidRPr="00AE4D46" w:rsidRDefault="00217894" w:rsidP="00EC6FAD">
            <w:pPr>
              <w:pStyle w:val="TableHeadings"/>
              <w:rPr>
                <w:color w:val="002060"/>
                <w:szCs w:val="22"/>
              </w:rPr>
            </w:pPr>
            <w:r w:rsidRPr="00886DFF">
              <w:rPr>
                <w:szCs w:val="22"/>
              </w:rPr>
              <w:t>Purpose</w:t>
            </w:r>
          </w:p>
        </w:tc>
      </w:tr>
      <w:tr w:rsidR="00DA39FD" w:rsidRPr="0069218C" w14:paraId="32423D1D" w14:textId="77777777" w:rsidTr="00B05A17">
        <w:trPr>
          <w:trHeight w:val="680"/>
        </w:trPr>
        <w:tc>
          <w:tcPr>
            <w:tcW w:w="5000" w:type="pct"/>
            <w:shd w:val="clear" w:color="auto" w:fill="auto"/>
          </w:tcPr>
          <w:p w14:paraId="277CDC94" w14:textId="77A971F7" w:rsidR="00586B07" w:rsidRDefault="00DA39FD" w:rsidP="00F522AE">
            <w:pPr>
              <w:spacing w:after="0" w:line="240" w:lineRule="auto"/>
              <w:rPr>
                <w:szCs w:val="22"/>
                <w:lang w:val="en-AU" w:eastAsia="en-US"/>
              </w:rPr>
            </w:pPr>
            <w:r w:rsidRPr="001C12FC">
              <w:rPr>
                <w:szCs w:val="22"/>
                <w:lang w:val="en-AU" w:eastAsia="en-US"/>
              </w:rPr>
              <w:t xml:space="preserve">This analysis and advice </w:t>
            </w:r>
            <w:proofErr w:type="gramStart"/>
            <w:r w:rsidRPr="001C12FC">
              <w:rPr>
                <w:szCs w:val="22"/>
                <w:lang w:val="en-AU" w:eastAsia="en-US"/>
              </w:rPr>
              <w:t>inform</w:t>
            </w:r>
            <w:r w:rsidR="00586B07">
              <w:rPr>
                <w:szCs w:val="22"/>
                <w:lang w:val="en-AU" w:eastAsia="en-US"/>
              </w:rPr>
              <w:t>s</w:t>
            </w:r>
            <w:proofErr w:type="gramEnd"/>
            <w:r w:rsidR="00F7689E" w:rsidRPr="001C12FC">
              <w:rPr>
                <w:szCs w:val="22"/>
                <w:lang w:val="en-AU" w:eastAsia="en-US"/>
              </w:rPr>
              <w:t xml:space="preserve"> </w:t>
            </w:r>
            <w:r w:rsidRPr="001C12FC">
              <w:rPr>
                <w:szCs w:val="22"/>
                <w:lang w:val="en-AU" w:eastAsia="en-US"/>
              </w:rPr>
              <w:t xml:space="preserve">key policy decisions to be taken by </w:t>
            </w:r>
            <w:r w:rsidR="00F7689E" w:rsidRPr="001C12FC">
              <w:rPr>
                <w:szCs w:val="22"/>
                <w:lang w:val="en-AU" w:eastAsia="en-US"/>
              </w:rPr>
              <w:t xml:space="preserve">the Minister of Revenue ahead of </w:t>
            </w:r>
            <w:r w:rsidRPr="001C12FC">
              <w:rPr>
                <w:szCs w:val="22"/>
                <w:lang w:val="en-AU" w:eastAsia="en-US"/>
              </w:rPr>
              <w:t xml:space="preserve">final decisions </w:t>
            </w:r>
            <w:r w:rsidR="00F7689E" w:rsidRPr="001C12FC">
              <w:rPr>
                <w:szCs w:val="22"/>
                <w:lang w:val="en-AU" w:eastAsia="en-US"/>
              </w:rPr>
              <w:t xml:space="preserve">by Cabinet on whether </w:t>
            </w:r>
            <w:r w:rsidRPr="001C12FC">
              <w:rPr>
                <w:szCs w:val="22"/>
                <w:lang w:val="en-AU" w:eastAsia="en-US"/>
              </w:rPr>
              <w:t>to proceed with a policy change</w:t>
            </w:r>
            <w:r w:rsidR="00F837E1">
              <w:rPr>
                <w:szCs w:val="22"/>
                <w:lang w:val="en-AU" w:eastAsia="en-US"/>
              </w:rPr>
              <w:t xml:space="preserve"> t</w:t>
            </w:r>
            <w:r w:rsidR="00CB5C56">
              <w:rPr>
                <w:szCs w:val="22"/>
                <w:lang w:val="en-AU" w:eastAsia="en-US"/>
              </w:rPr>
              <w:t>o reduce the</w:t>
            </w:r>
            <w:r w:rsidR="00CB5C56">
              <w:t xml:space="preserve"> need to </w:t>
            </w:r>
            <w:r w:rsidR="009B2575">
              <w:t>amen</w:t>
            </w:r>
            <w:r w:rsidR="00686A3D">
              <w:t>d</w:t>
            </w:r>
            <w:r w:rsidR="009B2575">
              <w:t xml:space="preserve"> </w:t>
            </w:r>
            <w:r w:rsidR="00CB5C56">
              <w:t>pre-2013 student loan obligations after April 2020</w:t>
            </w:r>
            <w:r w:rsidR="00664883">
              <w:t>.</w:t>
            </w:r>
            <w:r w:rsidR="00586B07" w:rsidRPr="001C12FC">
              <w:rPr>
                <w:szCs w:val="22"/>
                <w:lang w:val="en-AU" w:eastAsia="en-US"/>
              </w:rPr>
              <w:t xml:space="preserve"> </w:t>
            </w:r>
          </w:p>
          <w:p w14:paraId="7C26EA9C" w14:textId="77777777" w:rsidR="00586B07" w:rsidRDefault="00586B07" w:rsidP="00F522AE">
            <w:pPr>
              <w:spacing w:after="0" w:line="240" w:lineRule="auto"/>
              <w:rPr>
                <w:szCs w:val="22"/>
                <w:lang w:val="en-AU" w:eastAsia="en-US"/>
              </w:rPr>
            </w:pPr>
          </w:p>
          <w:p w14:paraId="7C03627F" w14:textId="77777777" w:rsidR="00AA7962" w:rsidRDefault="00586B07" w:rsidP="00F522AE">
            <w:pPr>
              <w:spacing w:after="0" w:line="240" w:lineRule="auto"/>
              <w:rPr>
                <w:szCs w:val="22"/>
                <w:lang w:val="en-AU" w:eastAsia="en-US"/>
              </w:rPr>
            </w:pPr>
            <w:r w:rsidRPr="001C12FC">
              <w:rPr>
                <w:szCs w:val="22"/>
                <w:lang w:val="en-AU" w:eastAsia="en-US"/>
              </w:rPr>
              <w:t xml:space="preserve">Inland Revenue is solely responsible for the analysis and advice set out in this Regulatory Impact </w:t>
            </w:r>
            <w:r>
              <w:rPr>
                <w:szCs w:val="22"/>
                <w:lang w:val="en-AU" w:eastAsia="en-US"/>
              </w:rPr>
              <w:t>Summary.</w:t>
            </w:r>
          </w:p>
          <w:p w14:paraId="28E69DD8" w14:textId="77777777" w:rsidR="00AA7962" w:rsidRPr="0069218C" w:rsidRDefault="00AA7962" w:rsidP="00AA7962">
            <w:pPr>
              <w:spacing w:after="0" w:line="240" w:lineRule="auto"/>
              <w:rPr>
                <w:rFonts w:cs="Arial"/>
                <w:szCs w:val="22"/>
              </w:rPr>
            </w:pPr>
          </w:p>
        </w:tc>
      </w:tr>
      <w:tr w:rsidR="00DA39FD" w:rsidRPr="0069218C" w14:paraId="5B9AFD06" w14:textId="77777777" w:rsidTr="00553112">
        <w:trPr>
          <w:trHeight w:val="79"/>
        </w:trPr>
        <w:tc>
          <w:tcPr>
            <w:tcW w:w="5000" w:type="pct"/>
            <w:shd w:val="clear" w:color="auto" w:fill="99CDDD"/>
            <w:hideMark/>
          </w:tcPr>
          <w:p w14:paraId="322F4C9D" w14:textId="77777777" w:rsidR="00DA39FD" w:rsidRPr="00886DFF" w:rsidRDefault="00B05A17" w:rsidP="00B05A17">
            <w:pPr>
              <w:pStyle w:val="TableHeadings"/>
              <w:rPr>
                <w:szCs w:val="22"/>
              </w:rPr>
            </w:pPr>
            <w:r>
              <w:rPr>
                <w:szCs w:val="22"/>
              </w:rPr>
              <w:t>K</w:t>
            </w:r>
            <w:r w:rsidR="00DA39FD" w:rsidRPr="00886DFF">
              <w:rPr>
                <w:szCs w:val="22"/>
              </w:rPr>
              <w:t>ey Limitations or Constraints on Analysis</w:t>
            </w:r>
          </w:p>
        </w:tc>
      </w:tr>
      <w:tr w:rsidR="0069218C" w:rsidRPr="0069218C" w14:paraId="3C235FBE" w14:textId="77777777" w:rsidTr="005A2311">
        <w:trPr>
          <w:trHeight w:val="6128"/>
        </w:trPr>
        <w:tc>
          <w:tcPr>
            <w:tcW w:w="5000" w:type="pct"/>
            <w:shd w:val="clear" w:color="auto" w:fill="auto"/>
          </w:tcPr>
          <w:p w14:paraId="63E9AEC9" w14:textId="77777777" w:rsidR="00B3596A" w:rsidRDefault="009A5160" w:rsidP="00F522AE">
            <w:pPr>
              <w:pStyle w:val="Bullet-list"/>
              <w:keepNext/>
              <w:numPr>
                <w:ilvl w:val="0"/>
                <w:numId w:val="0"/>
              </w:numPr>
              <w:spacing w:after="0" w:line="240" w:lineRule="auto"/>
              <w:rPr>
                <w:szCs w:val="22"/>
              </w:rPr>
            </w:pPr>
            <w:r>
              <w:rPr>
                <w:szCs w:val="22"/>
              </w:rPr>
              <w:t xml:space="preserve">The </w:t>
            </w:r>
            <w:r w:rsidR="00F9331E">
              <w:rPr>
                <w:szCs w:val="22"/>
              </w:rPr>
              <w:t>k</w:t>
            </w:r>
            <w:r w:rsidR="00B05A17">
              <w:rPr>
                <w:szCs w:val="22"/>
              </w:rPr>
              <w:t>ey limitations on the analysis are as follows</w:t>
            </w:r>
            <w:r w:rsidR="00EA1675">
              <w:rPr>
                <w:szCs w:val="22"/>
              </w:rPr>
              <w:t>.</w:t>
            </w:r>
          </w:p>
          <w:p w14:paraId="16E34C88" w14:textId="77777777" w:rsidR="00B3596A" w:rsidRDefault="00B3596A" w:rsidP="00F522AE">
            <w:pPr>
              <w:pStyle w:val="Bullet-list"/>
              <w:keepNext/>
              <w:numPr>
                <w:ilvl w:val="0"/>
                <w:numId w:val="0"/>
              </w:numPr>
              <w:spacing w:after="0" w:line="240" w:lineRule="auto"/>
              <w:ind w:left="360" w:hanging="360"/>
              <w:rPr>
                <w:szCs w:val="22"/>
              </w:rPr>
            </w:pPr>
          </w:p>
          <w:p w14:paraId="28FBCC62" w14:textId="77777777" w:rsidR="00EA1675" w:rsidRPr="00961D2E" w:rsidRDefault="00EA1675" w:rsidP="00F522AE">
            <w:pPr>
              <w:pStyle w:val="Bullet-list"/>
              <w:keepNext/>
              <w:numPr>
                <w:ilvl w:val="0"/>
                <w:numId w:val="0"/>
              </w:numPr>
              <w:spacing w:after="0" w:line="240" w:lineRule="auto"/>
              <w:ind w:left="360" w:hanging="360"/>
              <w:rPr>
                <w:b/>
                <w:szCs w:val="22"/>
              </w:rPr>
            </w:pPr>
            <w:r w:rsidRPr="00961D2E">
              <w:rPr>
                <w:b/>
                <w:szCs w:val="22"/>
              </w:rPr>
              <w:t>Time to enact legislation</w:t>
            </w:r>
          </w:p>
          <w:p w14:paraId="5EDC904F" w14:textId="000E8D2E" w:rsidR="00B3596A" w:rsidRDefault="00470DEB" w:rsidP="00F522AE">
            <w:pPr>
              <w:pStyle w:val="Bullet-list"/>
              <w:keepNext/>
              <w:numPr>
                <w:ilvl w:val="0"/>
                <w:numId w:val="0"/>
              </w:numPr>
              <w:spacing w:after="0" w:line="240" w:lineRule="auto"/>
              <w:rPr>
                <w:szCs w:val="22"/>
              </w:rPr>
            </w:pPr>
            <w:r>
              <w:rPr>
                <w:szCs w:val="22"/>
              </w:rPr>
              <w:t xml:space="preserve">As </w:t>
            </w:r>
            <w:r w:rsidR="00375022">
              <w:rPr>
                <w:szCs w:val="22"/>
              </w:rPr>
              <w:t xml:space="preserve">part of Inland Revenue’s Business Transformation programme, </w:t>
            </w:r>
            <w:r>
              <w:rPr>
                <w:szCs w:val="22"/>
              </w:rPr>
              <w:t xml:space="preserve">the </w:t>
            </w:r>
            <w:r w:rsidR="00886373">
              <w:rPr>
                <w:szCs w:val="22"/>
              </w:rPr>
              <w:t>S</w:t>
            </w:r>
            <w:r>
              <w:rPr>
                <w:szCs w:val="22"/>
              </w:rPr>
              <w:t xml:space="preserve">tudent </w:t>
            </w:r>
            <w:r w:rsidR="00886373">
              <w:rPr>
                <w:szCs w:val="22"/>
              </w:rPr>
              <w:t>L</w:t>
            </w:r>
            <w:r>
              <w:rPr>
                <w:szCs w:val="22"/>
              </w:rPr>
              <w:t xml:space="preserve">oan </w:t>
            </w:r>
            <w:r w:rsidR="00886373">
              <w:rPr>
                <w:szCs w:val="22"/>
              </w:rPr>
              <w:t>S</w:t>
            </w:r>
            <w:r>
              <w:rPr>
                <w:szCs w:val="22"/>
              </w:rPr>
              <w:t>cheme will be</w:t>
            </w:r>
            <w:r w:rsidR="00664883">
              <w:rPr>
                <w:szCs w:val="22"/>
              </w:rPr>
              <w:t xml:space="preserve"> moved to new systems and processes </w:t>
            </w:r>
            <w:r>
              <w:rPr>
                <w:szCs w:val="22"/>
              </w:rPr>
              <w:t>with effect from April 2020</w:t>
            </w:r>
            <w:r w:rsidR="00586B07">
              <w:rPr>
                <w:szCs w:val="22"/>
              </w:rPr>
              <w:t xml:space="preserve">. </w:t>
            </w:r>
            <w:r w:rsidR="00664883">
              <w:rPr>
                <w:szCs w:val="22"/>
              </w:rPr>
              <w:t>This transfer provides an opportunity to reduce the current complexity of the scheme caused by having to administer rules for previous years that ha</w:t>
            </w:r>
            <w:r w:rsidR="00F522AE">
              <w:rPr>
                <w:szCs w:val="22"/>
              </w:rPr>
              <w:t>ve</w:t>
            </w:r>
            <w:r w:rsidR="00664883">
              <w:rPr>
                <w:szCs w:val="22"/>
              </w:rPr>
              <w:t xml:space="preserve"> subsequently been repealed</w:t>
            </w:r>
            <w:r w:rsidR="00586B07">
              <w:rPr>
                <w:szCs w:val="22"/>
              </w:rPr>
              <w:t xml:space="preserve">. </w:t>
            </w:r>
            <w:r w:rsidR="00664883">
              <w:rPr>
                <w:szCs w:val="22"/>
              </w:rPr>
              <w:t>A</w:t>
            </w:r>
            <w:r>
              <w:rPr>
                <w:szCs w:val="22"/>
              </w:rPr>
              <w:t xml:space="preserve">ny legislative changes that are to apply from </w:t>
            </w:r>
            <w:r w:rsidR="00664883">
              <w:rPr>
                <w:szCs w:val="22"/>
              </w:rPr>
              <w:t>2020</w:t>
            </w:r>
            <w:r>
              <w:rPr>
                <w:szCs w:val="22"/>
              </w:rPr>
              <w:t xml:space="preserve"> would need to be introduced into Parliament </w:t>
            </w:r>
            <w:r w:rsidR="00586B07">
              <w:rPr>
                <w:szCs w:val="22"/>
              </w:rPr>
              <w:t>by</w:t>
            </w:r>
            <w:r>
              <w:rPr>
                <w:szCs w:val="22"/>
              </w:rPr>
              <w:t xml:space="preserve"> mid-2019</w:t>
            </w:r>
            <w:r w:rsidR="00586B07">
              <w:rPr>
                <w:szCs w:val="22"/>
              </w:rPr>
              <w:t xml:space="preserve">. </w:t>
            </w:r>
            <w:r w:rsidR="00B3596A" w:rsidRPr="002E6087">
              <w:rPr>
                <w:szCs w:val="22"/>
              </w:rPr>
              <w:t>The timeframe to enact legislation has reduced the time available to develop and analyse the options and to consult with stakeholders.</w:t>
            </w:r>
          </w:p>
          <w:p w14:paraId="4E991631" w14:textId="77777777" w:rsidR="00EA1675" w:rsidRDefault="00EA1675" w:rsidP="00F522AE">
            <w:pPr>
              <w:pStyle w:val="Bullet-list"/>
              <w:keepNext/>
              <w:numPr>
                <w:ilvl w:val="0"/>
                <w:numId w:val="0"/>
              </w:numPr>
              <w:spacing w:after="0" w:line="240" w:lineRule="auto"/>
              <w:rPr>
                <w:szCs w:val="22"/>
              </w:rPr>
            </w:pPr>
          </w:p>
          <w:p w14:paraId="61F53A6D" w14:textId="77777777" w:rsidR="00EA1675" w:rsidRPr="00961D2E" w:rsidRDefault="00B3596A" w:rsidP="00F522AE">
            <w:pPr>
              <w:pStyle w:val="Bullet-list"/>
              <w:keepNext/>
              <w:numPr>
                <w:ilvl w:val="0"/>
                <w:numId w:val="0"/>
              </w:numPr>
              <w:spacing w:after="0" w:line="240" w:lineRule="auto"/>
              <w:ind w:left="360" w:hanging="360"/>
              <w:rPr>
                <w:b/>
                <w:szCs w:val="22"/>
              </w:rPr>
            </w:pPr>
            <w:r w:rsidRPr="00961D2E">
              <w:rPr>
                <w:b/>
                <w:szCs w:val="22"/>
              </w:rPr>
              <w:t>No consultation with external stakeholders</w:t>
            </w:r>
          </w:p>
          <w:p w14:paraId="17CF65A1" w14:textId="494ADAC7" w:rsidR="00B3596A" w:rsidRDefault="00B3596A" w:rsidP="00F522AE">
            <w:pPr>
              <w:pStyle w:val="Bullet-list"/>
              <w:keepNext/>
              <w:numPr>
                <w:ilvl w:val="0"/>
                <w:numId w:val="0"/>
              </w:numPr>
              <w:spacing w:after="0" w:line="240" w:lineRule="auto"/>
              <w:rPr>
                <w:szCs w:val="22"/>
              </w:rPr>
            </w:pPr>
            <w:r w:rsidRPr="00B3596A">
              <w:rPr>
                <w:szCs w:val="22"/>
              </w:rPr>
              <w:t>Inland Revenue ha</w:t>
            </w:r>
            <w:r w:rsidR="00586B07">
              <w:rPr>
                <w:szCs w:val="22"/>
              </w:rPr>
              <w:t>s</w:t>
            </w:r>
            <w:r w:rsidRPr="00B3596A">
              <w:rPr>
                <w:szCs w:val="22"/>
              </w:rPr>
              <w:t xml:space="preserve"> not consulted with affected borrowers as the number of borrowers likely to be impacted by the proposed option</w:t>
            </w:r>
            <w:r w:rsidR="00804D05">
              <w:rPr>
                <w:szCs w:val="22"/>
              </w:rPr>
              <w:t xml:space="preserve"> i</w:t>
            </w:r>
            <w:r w:rsidRPr="00B3596A">
              <w:rPr>
                <w:szCs w:val="22"/>
              </w:rPr>
              <w:t xml:space="preserve">s small and </w:t>
            </w:r>
            <w:r>
              <w:rPr>
                <w:szCs w:val="22"/>
              </w:rPr>
              <w:t>the legislative process provides a</w:t>
            </w:r>
            <w:r w:rsidR="00EA1675">
              <w:rPr>
                <w:szCs w:val="22"/>
              </w:rPr>
              <w:t>n opportunity</w:t>
            </w:r>
            <w:r>
              <w:rPr>
                <w:szCs w:val="22"/>
              </w:rPr>
              <w:t xml:space="preserve"> for the public to make submissions on the proposals as the Bill progresses through Parliament</w:t>
            </w:r>
            <w:r w:rsidRPr="00B3596A">
              <w:rPr>
                <w:szCs w:val="22"/>
              </w:rPr>
              <w:t>.</w:t>
            </w:r>
          </w:p>
          <w:p w14:paraId="0A7A98E6" w14:textId="77777777" w:rsidR="00EA1675" w:rsidRDefault="00EA1675" w:rsidP="00F522AE">
            <w:pPr>
              <w:pStyle w:val="ListParagraph"/>
              <w:ind w:left="0"/>
              <w:rPr>
                <w:rFonts w:cs="Times New Roman"/>
                <w:szCs w:val="22"/>
                <w:lang w:val="en-AU" w:eastAsia="en-US"/>
              </w:rPr>
            </w:pPr>
          </w:p>
          <w:p w14:paraId="1C486701" w14:textId="77777777" w:rsidR="00EA1675" w:rsidRPr="00961D2E" w:rsidRDefault="00EA1675" w:rsidP="00F522AE">
            <w:pPr>
              <w:pStyle w:val="ListParagraph"/>
              <w:ind w:left="0"/>
              <w:rPr>
                <w:rFonts w:cs="Times New Roman"/>
                <w:b/>
                <w:szCs w:val="22"/>
                <w:lang w:val="en-AU" w:eastAsia="en-US"/>
              </w:rPr>
            </w:pPr>
            <w:r w:rsidRPr="00961D2E">
              <w:rPr>
                <w:rFonts w:cs="Times New Roman"/>
                <w:b/>
                <w:szCs w:val="22"/>
                <w:lang w:val="en-AU" w:eastAsia="en-US"/>
              </w:rPr>
              <w:t>Scale of the problem</w:t>
            </w:r>
          </w:p>
          <w:p w14:paraId="20A454BA" w14:textId="57B7DF8E" w:rsidR="00250AC7" w:rsidRPr="00B3596A" w:rsidRDefault="00250AC7" w:rsidP="00F522AE">
            <w:pPr>
              <w:pStyle w:val="Bullet-list"/>
              <w:keepNext/>
              <w:numPr>
                <w:ilvl w:val="0"/>
                <w:numId w:val="0"/>
              </w:numPr>
              <w:spacing w:after="0" w:line="240" w:lineRule="auto"/>
              <w:rPr>
                <w:szCs w:val="22"/>
              </w:rPr>
            </w:pPr>
            <w:r>
              <w:rPr>
                <w:szCs w:val="22"/>
              </w:rPr>
              <w:t>The scale of the problem in terms of the impact of the status quo on borrower compliance has not been accurately identified</w:t>
            </w:r>
            <w:r w:rsidR="00586B07">
              <w:rPr>
                <w:szCs w:val="22"/>
              </w:rPr>
              <w:t xml:space="preserve">. </w:t>
            </w:r>
            <w:r w:rsidR="008D09E1">
              <w:rPr>
                <w:szCs w:val="22"/>
              </w:rPr>
              <w:t xml:space="preserve">Research suggests </w:t>
            </w:r>
            <w:r w:rsidR="00F80E60">
              <w:rPr>
                <w:szCs w:val="22"/>
              </w:rPr>
              <w:t>that</w:t>
            </w:r>
            <w:r w:rsidRPr="00B05A17">
              <w:rPr>
                <w:szCs w:val="22"/>
              </w:rPr>
              <w:t xml:space="preserve"> borrowers do not understand </w:t>
            </w:r>
            <w:r w:rsidR="00664883">
              <w:rPr>
                <w:szCs w:val="22"/>
              </w:rPr>
              <w:t xml:space="preserve">how the student loan rules for previous years impact </w:t>
            </w:r>
            <w:r w:rsidR="002168C6">
              <w:rPr>
                <w:szCs w:val="22"/>
              </w:rPr>
              <w:t xml:space="preserve">any changes </w:t>
            </w:r>
            <w:r w:rsidR="00664883">
              <w:rPr>
                <w:szCs w:val="22"/>
              </w:rPr>
              <w:t>their loan obligations.</w:t>
            </w:r>
          </w:p>
          <w:p w14:paraId="5B53225C" w14:textId="77777777" w:rsidR="00250AC7" w:rsidRDefault="00250AC7" w:rsidP="00F522AE">
            <w:pPr>
              <w:pStyle w:val="Bullet-list"/>
              <w:keepNext/>
              <w:numPr>
                <w:ilvl w:val="0"/>
                <w:numId w:val="0"/>
              </w:numPr>
              <w:spacing w:after="0" w:line="240" w:lineRule="auto"/>
              <w:rPr>
                <w:szCs w:val="22"/>
              </w:rPr>
            </w:pPr>
          </w:p>
          <w:p w14:paraId="1F5A0581" w14:textId="77777777" w:rsidR="00EA1675" w:rsidRPr="00961D2E" w:rsidRDefault="00B3596A" w:rsidP="00F522AE">
            <w:pPr>
              <w:pStyle w:val="Bullet-list"/>
              <w:keepNext/>
              <w:numPr>
                <w:ilvl w:val="0"/>
                <w:numId w:val="0"/>
              </w:numPr>
              <w:spacing w:after="0" w:line="240" w:lineRule="auto"/>
              <w:ind w:left="360" w:hanging="360"/>
              <w:rPr>
                <w:b/>
                <w:szCs w:val="22"/>
              </w:rPr>
            </w:pPr>
            <w:r w:rsidRPr="00961D2E">
              <w:rPr>
                <w:b/>
                <w:szCs w:val="22"/>
              </w:rPr>
              <w:t>Impact of proposals on the student loan valuation</w:t>
            </w:r>
          </w:p>
          <w:p w14:paraId="5B91F6C9" w14:textId="0AD413F5" w:rsidR="00250AC7" w:rsidRPr="00B3596A" w:rsidRDefault="00250AC7" w:rsidP="00F522AE">
            <w:pPr>
              <w:pStyle w:val="Bullet-list"/>
              <w:keepNext/>
              <w:numPr>
                <w:ilvl w:val="0"/>
                <w:numId w:val="0"/>
              </w:numPr>
              <w:spacing w:after="0" w:line="240" w:lineRule="auto"/>
              <w:rPr>
                <w:szCs w:val="22"/>
              </w:rPr>
            </w:pPr>
            <w:r w:rsidRPr="00B3596A">
              <w:rPr>
                <w:szCs w:val="22"/>
              </w:rPr>
              <w:t>Proposals that have a</w:t>
            </w:r>
            <w:r>
              <w:rPr>
                <w:szCs w:val="22"/>
              </w:rPr>
              <w:t xml:space="preserve"> material </w:t>
            </w:r>
            <w:r w:rsidRPr="00B3596A">
              <w:rPr>
                <w:szCs w:val="22"/>
              </w:rPr>
              <w:t>impact on the valuation require a B</w:t>
            </w:r>
            <w:r>
              <w:rPr>
                <w:szCs w:val="22"/>
              </w:rPr>
              <w:t>udget bid and would need to be prioritised alongside other bids for Government funding</w:t>
            </w:r>
            <w:r w:rsidR="00586B07">
              <w:rPr>
                <w:szCs w:val="22"/>
              </w:rPr>
              <w:t xml:space="preserve">. </w:t>
            </w:r>
            <w:proofErr w:type="gramStart"/>
            <w:r>
              <w:rPr>
                <w:szCs w:val="22"/>
              </w:rPr>
              <w:t>In order to</w:t>
            </w:r>
            <w:proofErr w:type="gramEnd"/>
            <w:r>
              <w:rPr>
                <w:szCs w:val="22"/>
              </w:rPr>
              <w:t xml:space="preserve"> proceed with reducing the complexity of </w:t>
            </w:r>
            <w:r w:rsidR="002168C6">
              <w:rPr>
                <w:szCs w:val="22"/>
              </w:rPr>
              <w:t>changes to prior years’ repayment obligations</w:t>
            </w:r>
            <w:r>
              <w:rPr>
                <w:szCs w:val="22"/>
              </w:rPr>
              <w:t>, officials focussed on options that</w:t>
            </w:r>
            <w:r w:rsidRPr="00B3596A">
              <w:rPr>
                <w:szCs w:val="22"/>
              </w:rPr>
              <w:t xml:space="preserve"> </w:t>
            </w:r>
            <w:r>
              <w:rPr>
                <w:szCs w:val="22"/>
              </w:rPr>
              <w:t>would not</w:t>
            </w:r>
            <w:r w:rsidRPr="00B3596A">
              <w:rPr>
                <w:szCs w:val="22"/>
              </w:rPr>
              <w:t xml:space="preserve"> </w:t>
            </w:r>
            <w:r>
              <w:rPr>
                <w:szCs w:val="22"/>
              </w:rPr>
              <w:t xml:space="preserve">materially </w:t>
            </w:r>
            <w:r w:rsidRPr="00B3596A">
              <w:rPr>
                <w:szCs w:val="22"/>
              </w:rPr>
              <w:t>impact the student loan valuation</w:t>
            </w:r>
            <w:r w:rsidRPr="00B05A17">
              <w:rPr>
                <w:szCs w:val="22"/>
              </w:rPr>
              <w:t>.</w:t>
            </w:r>
          </w:p>
          <w:p w14:paraId="09B55D75" w14:textId="77777777" w:rsidR="00250AC7" w:rsidRDefault="00250AC7" w:rsidP="00F522AE">
            <w:pPr>
              <w:pStyle w:val="Bullet-list"/>
              <w:keepNext/>
              <w:numPr>
                <w:ilvl w:val="0"/>
                <w:numId w:val="0"/>
              </w:numPr>
              <w:spacing w:after="0" w:line="240" w:lineRule="auto"/>
              <w:ind w:left="360" w:hanging="360"/>
              <w:rPr>
                <w:szCs w:val="22"/>
              </w:rPr>
            </w:pPr>
          </w:p>
          <w:p w14:paraId="0DCEFC37" w14:textId="050E5E39" w:rsidR="009A5160" w:rsidRDefault="00B05A17" w:rsidP="00F522AE">
            <w:pPr>
              <w:pStyle w:val="Bullet-list"/>
              <w:keepNext/>
              <w:numPr>
                <w:ilvl w:val="0"/>
                <w:numId w:val="0"/>
              </w:numPr>
              <w:spacing w:after="0" w:line="240" w:lineRule="auto"/>
              <w:ind w:left="360" w:hanging="360"/>
              <w:rPr>
                <w:szCs w:val="22"/>
              </w:rPr>
            </w:pPr>
            <w:r w:rsidRPr="00B05A17">
              <w:rPr>
                <w:szCs w:val="22"/>
              </w:rPr>
              <w:t>N</w:t>
            </w:r>
            <w:r>
              <w:rPr>
                <w:szCs w:val="22"/>
              </w:rPr>
              <w:t xml:space="preserve">one of the </w:t>
            </w:r>
            <w:r w:rsidRPr="00B05A17">
              <w:rPr>
                <w:szCs w:val="22"/>
              </w:rPr>
              <w:t>limitation</w:t>
            </w:r>
            <w:r>
              <w:rPr>
                <w:szCs w:val="22"/>
              </w:rPr>
              <w:t>s</w:t>
            </w:r>
            <w:r w:rsidRPr="00B05A17">
              <w:rPr>
                <w:szCs w:val="22"/>
              </w:rPr>
              <w:t xml:space="preserve"> materially affect the analysis</w:t>
            </w:r>
            <w:r w:rsidR="00EA1675">
              <w:rPr>
                <w:szCs w:val="22"/>
              </w:rPr>
              <w:t>.</w:t>
            </w:r>
          </w:p>
          <w:p w14:paraId="58AE91FC" w14:textId="77777777" w:rsidR="00553112" w:rsidRPr="00B05A17" w:rsidRDefault="00553112" w:rsidP="00F522AE">
            <w:pPr>
              <w:spacing w:after="0" w:line="240" w:lineRule="auto"/>
              <w:rPr>
                <w:szCs w:val="22"/>
                <w:lang w:val="en-AU" w:eastAsia="en-US"/>
              </w:rPr>
            </w:pPr>
          </w:p>
        </w:tc>
      </w:tr>
      <w:tr w:rsidR="00DA39FD" w:rsidRPr="0069218C" w14:paraId="4EB5EE71" w14:textId="77777777" w:rsidTr="008F4216">
        <w:tc>
          <w:tcPr>
            <w:tcW w:w="5000" w:type="pct"/>
            <w:shd w:val="clear" w:color="auto" w:fill="99CDDD"/>
            <w:hideMark/>
          </w:tcPr>
          <w:p w14:paraId="341CC4C8" w14:textId="77777777" w:rsidR="00DA39FD" w:rsidRPr="00886DFF" w:rsidRDefault="00DA39FD" w:rsidP="00EC6FAD">
            <w:pPr>
              <w:pStyle w:val="TableHeadings"/>
              <w:rPr>
                <w:szCs w:val="22"/>
              </w:rPr>
            </w:pPr>
            <w:r w:rsidRPr="00886DFF">
              <w:rPr>
                <w:szCs w:val="22"/>
              </w:rPr>
              <w:t>Responsible Manager (signature and date):</w:t>
            </w:r>
          </w:p>
        </w:tc>
      </w:tr>
      <w:tr w:rsidR="00E92509" w:rsidRPr="0069218C" w14:paraId="27F76407" w14:textId="77777777" w:rsidTr="00470DEB">
        <w:trPr>
          <w:trHeight w:val="459"/>
        </w:trPr>
        <w:tc>
          <w:tcPr>
            <w:tcW w:w="5000" w:type="pct"/>
            <w:shd w:val="clear" w:color="auto" w:fill="FFFFFF"/>
          </w:tcPr>
          <w:p w14:paraId="34895153" w14:textId="77777777" w:rsidR="00C816A0" w:rsidRDefault="00C816A0" w:rsidP="00C816A0">
            <w:pPr>
              <w:spacing w:after="0" w:line="240" w:lineRule="auto"/>
              <w:rPr>
                <w:szCs w:val="22"/>
              </w:rPr>
            </w:pPr>
          </w:p>
          <w:p w14:paraId="1301A2B0" w14:textId="77777777" w:rsidR="00C816A0" w:rsidRDefault="00C816A0" w:rsidP="00C816A0">
            <w:pPr>
              <w:spacing w:after="0" w:line="240" w:lineRule="auto"/>
              <w:rPr>
                <w:szCs w:val="22"/>
              </w:rPr>
            </w:pPr>
          </w:p>
          <w:p w14:paraId="40CB02FE" w14:textId="77777777" w:rsidR="00AA7962" w:rsidRDefault="00AA7962" w:rsidP="00C816A0">
            <w:pPr>
              <w:spacing w:after="0" w:line="240" w:lineRule="auto"/>
              <w:rPr>
                <w:szCs w:val="22"/>
              </w:rPr>
            </w:pPr>
          </w:p>
          <w:p w14:paraId="473EA7EF" w14:textId="77777777" w:rsidR="00380585" w:rsidRPr="00C816A0" w:rsidRDefault="009276C5" w:rsidP="00C816A0">
            <w:pPr>
              <w:spacing w:after="0" w:line="240" w:lineRule="auto"/>
              <w:rPr>
                <w:b/>
                <w:szCs w:val="22"/>
              </w:rPr>
            </w:pPr>
            <w:r w:rsidRPr="00C816A0">
              <w:rPr>
                <w:b/>
                <w:szCs w:val="22"/>
              </w:rPr>
              <w:t>Melody Guy</w:t>
            </w:r>
          </w:p>
          <w:p w14:paraId="49BD579C" w14:textId="77777777" w:rsidR="00412C21" w:rsidRDefault="00412C21" w:rsidP="00C816A0">
            <w:pPr>
              <w:spacing w:after="0" w:line="240" w:lineRule="auto"/>
              <w:rPr>
                <w:szCs w:val="22"/>
              </w:rPr>
            </w:pPr>
            <w:r>
              <w:rPr>
                <w:szCs w:val="22"/>
              </w:rPr>
              <w:t>Policy Manager</w:t>
            </w:r>
          </w:p>
          <w:p w14:paraId="7FD6E910" w14:textId="77777777" w:rsidR="009276C5" w:rsidRDefault="009276C5" w:rsidP="00C816A0">
            <w:pPr>
              <w:spacing w:after="0" w:line="240" w:lineRule="auto"/>
              <w:rPr>
                <w:szCs w:val="22"/>
              </w:rPr>
            </w:pPr>
            <w:r>
              <w:rPr>
                <w:szCs w:val="22"/>
              </w:rPr>
              <w:t>Policy and Strategy</w:t>
            </w:r>
          </w:p>
          <w:p w14:paraId="72B81281" w14:textId="77777777" w:rsidR="00412C21" w:rsidRDefault="009276C5" w:rsidP="00C816A0">
            <w:pPr>
              <w:spacing w:after="0" w:line="240" w:lineRule="auto"/>
              <w:rPr>
                <w:szCs w:val="22"/>
              </w:rPr>
            </w:pPr>
            <w:r>
              <w:rPr>
                <w:szCs w:val="22"/>
              </w:rPr>
              <w:t>Inland Revenue</w:t>
            </w:r>
          </w:p>
          <w:p w14:paraId="1AAADD45" w14:textId="77777777" w:rsidR="00412C21" w:rsidRPr="0069218C" w:rsidRDefault="00686A3D" w:rsidP="00C816A0">
            <w:pPr>
              <w:spacing w:after="0" w:line="240" w:lineRule="auto"/>
              <w:rPr>
                <w:rFonts w:cs="Arial"/>
                <w:szCs w:val="22"/>
              </w:rPr>
            </w:pPr>
            <w:r w:rsidRPr="00686A3D">
              <w:rPr>
                <w:szCs w:val="22"/>
              </w:rPr>
              <w:t>31</w:t>
            </w:r>
            <w:r w:rsidR="00412C21" w:rsidRPr="00686A3D">
              <w:rPr>
                <w:szCs w:val="22"/>
              </w:rPr>
              <w:t xml:space="preserve"> </w:t>
            </w:r>
            <w:r w:rsidR="00412C21">
              <w:rPr>
                <w:szCs w:val="22"/>
              </w:rPr>
              <w:t>January 2019</w:t>
            </w:r>
          </w:p>
        </w:tc>
      </w:tr>
    </w:tbl>
    <w:p w14:paraId="58C530B7" w14:textId="77777777" w:rsidR="00E92509" w:rsidRDefault="00F132B2">
      <w:pPr>
        <w:pStyle w:val="Heading2"/>
      </w:pPr>
      <w:bookmarkStart w:id="1" w:name="_Toc363047038"/>
      <w:bookmarkStart w:id="2" w:name="_Toc362940530"/>
      <w:bookmarkStart w:id="3" w:name="_Toc362618966"/>
      <w:bookmarkStart w:id="4" w:name="_Toc362434720"/>
      <w:bookmarkStart w:id="5" w:name="_Toc362368098"/>
      <w:r w:rsidRPr="0069218C">
        <w:rPr>
          <w:rFonts w:cs="Arial"/>
          <w:lang w:val="en-NZ"/>
        </w:rPr>
        <w:br w:type="page"/>
      </w:r>
      <w:r w:rsidR="00E92509" w:rsidRPr="002D5734">
        <w:lastRenderedPageBreak/>
        <w:t xml:space="preserve">Section 2:  </w:t>
      </w:r>
      <w:bookmarkEnd w:id="1"/>
      <w:bookmarkEnd w:id="2"/>
      <w:bookmarkEnd w:id="3"/>
      <w:bookmarkEnd w:id="4"/>
      <w:bookmarkEnd w:id="5"/>
      <w:r w:rsidR="00304CE4" w:rsidRPr="002D5734">
        <w:t xml:space="preserve">Problem </w:t>
      </w:r>
      <w:r w:rsidR="0032262A" w:rsidRPr="002D5734">
        <w:t>d</w:t>
      </w:r>
      <w:r w:rsidR="00304CE4" w:rsidRPr="002D5734">
        <w:t>efinition</w:t>
      </w:r>
      <w:r w:rsidR="0032262A" w:rsidRPr="002D5734">
        <w:t xml:space="preserve"> and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D5734" w:rsidRPr="0069218C" w14:paraId="0C6C61ED" w14:textId="77777777" w:rsidTr="00800DEC">
        <w:trPr>
          <w:trHeight w:val="77"/>
        </w:trPr>
        <w:tc>
          <w:tcPr>
            <w:tcW w:w="5000" w:type="pct"/>
            <w:shd w:val="clear" w:color="auto" w:fill="99CDDD"/>
            <w:hideMark/>
          </w:tcPr>
          <w:p w14:paraId="1FEAC3F5" w14:textId="77777777" w:rsidR="00E92509" w:rsidRPr="00886DFF" w:rsidRDefault="002A56F0" w:rsidP="00EC6FAD">
            <w:pPr>
              <w:pStyle w:val="TableHeadings"/>
              <w:rPr>
                <w:szCs w:val="22"/>
              </w:rPr>
            </w:pPr>
            <w:r w:rsidRPr="00886DFF">
              <w:rPr>
                <w:szCs w:val="22"/>
              </w:rPr>
              <w:t xml:space="preserve">2.1   </w:t>
            </w:r>
            <w:r w:rsidR="00051A88" w:rsidRPr="00886DFF">
              <w:rPr>
                <w:szCs w:val="22"/>
              </w:rPr>
              <w:t>What is the policy problem or opportunity</w:t>
            </w:r>
            <w:r w:rsidR="002106CB" w:rsidRPr="00886DFF">
              <w:rPr>
                <w:szCs w:val="22"/>
              </w:rPr>
              <w:t xml:space="preserve">? </w:t>
            </w:r>
          </w:p>
        </w:tc>
      </w:tr>
      <w:tr w:rsidR="008F4216" w:rsidRPr="0069218C" w14:paraId="647F2CB0" w14:textId="77777777" w:rsidTr="00C7655A">
        <w:trPr>
          <w:trHeight w:val="1913"/>
        </w:trPr>
        <w:tc>
          <w:tcPr>
            <w:tcW w:w="5000" w:type="pct"/>
            <w:shd w:val="clear" w:color="auto" w:fill="auto"/>
          </w:tcPr>
          <w:p w14:paraId="34F5855C" w14:textId="77777777" w:rsidR="00374199" w:rsidRDefault="00374199" w:rsidP="00F522AE">
            <w:pPr>
              <w:spacing w:after="0" w:line="240" w:lineRule="auto"/>
              <w:rPr>
                <w:rFonts w:cs="Arial"/>
                <w:szCs w:val="22"/>
                <w:lang w:eastAsia="en-AU"/>
              </w:rPr>
            </w:pPr>
          </w:p>
          <w:p w14:paraId="4A09E01B" w14:textId="3C2B2D79" w:rsidR="00194BB2" w:rsidRPr="005C595B" w:rsidRDefault="00194BB2" w:rsidP="00F522AE">
            <w:pPr>
              <w:spacing w:after="0" w:line="240" w:lineRule="auto"/>
              <w:rPr>
                <w:rFonts w:cs="Arial"/>
                <w:szCs w:val="22"/>
                <w:lang w:eastAsia="en-AU"/>
              </w:rPr>
            </w:pPr>
            <w:r w:rsidRPr="005C595B">
              <w:rPr>
                <w:rFonts w:cs="Arial"/>
                <w:szCs w:val="22"/>
                <w:lang w:eastAsia="en-AU"/>
              </w:rPr>
              <w:t>The underlying p</w:t>
            </w:r>
            <w:r>
              <w:rPr>
                <w:rFonts w:cs="Arial"/>
                <w:szCs w:val="22"/>
                <w:lang w:eastAsia="en-AU"/>
              </w:rPr>
              <w:t xml:space="preserve">roblem is the complexity of </w:t>
            </w:r>
            <w:r w:rsidR="00961D2E">
              <w:rPr>
                <w:rFonts w:cs="Arial"/>
                <w:szCs w:val="22"/>
                <w:lang w:eastAsia="en-AU"/>
              </w:rPr>
              <w:t xml:space="preserve">the student loan rules relating to </w:t>
            </w:r>
            <w:r w:rsidR="00664883">
              <w:rPr>
                <w:rFonts w:cs="Arial"/>
                <w:szCs w:val="22"/>
                <w:lang w:eastAsia="en-AU"/>
              </w:rPr>
              <w:t>previous years</w:t>
            </w:r>
            <w:r w:rsidR="00961D2E">
              <w:rPr>
                <w:rFonts w:cs="Arial"/>
                <w:szCs w:val="22"/>
                <w:lang w:eastAsia="en-AU"/>
              </w:rPr>
              <w:t xml:space="preserve"> that no longer feature in the current scheme</w:t>
            </w:r>
            <w:r w:rsidR="00586B07">
              <w:rPr>
                <w:rFonts w:cs="Arial"/>
                <w:szCs w:val="22"/>
                <w:lang w:eastAsia="en-AU"/>
              </w:rPr>
              <w:t xml:space="preserve">. </w:t>
            </w:r>
            <w:r>
              <w:rPr>
                <w:rFonts w:cs="Arial"/>
                <w:szCs w:val="22"/>
                <w:lang w:eastAsia="en-AU"/>
              </w:rPr>
              <w:t xml:space="preserve">This complexity means there is a </w:t>
            </w:r>
            <w:r w:rsidRPr="005C595B">
              <w:rPr>
                <w:rFonts w:cs="Arial"/>
                <w:szCs w:val="22"/>
                <w:lang w:eastAsia="en-AU"/>
              </w:rPr>
              <w:t>lack of understanding by borrowers of the</w:t>
            </w:r>
            <w:r w:rsidR="00B17099">
              <w:rPr>
                <w:rFonts w:cs="Arial"/>
                <w:szCs w:val="22"/>
                <w:lang w:eastAsia="en-AU"/>
              </w:rPr>
              <w:t xml:space="preserve"> </w:t>
            </w:r>
            <w:r w:rsidR="00664883">
              <w:rPr>
                <w:rFonts w:cs="Arial"/>
                <w:szCs w:val="22"/>
                <w:lang w:eastAsia="en-AU"/>
              </w:rPr>
              <w:t xml:space="preserve">rules </w:t>
            </w:r>
            <w:r w:rsidR="001E1550">
              <w:rPr>
                <w:rFonts w:cs="Arial"/>
                <w:szCs w:val="22"/>
                <w:lang w:eastAsia="en-AU"/>
              </w:rPr>
              <w:t>prior to 1 April 2013</w:t>
            </w:r>
            <w:r>
              <w:rPr>
                <w:rFonts w:cs="Arial"/>
                <w:szCs w:val="22"/>
                <w:lang w:eastAsia="en-AU"/>
              </w:rPr>
              <w:t>.</w:t>
            </w:r>
          </w:p>
          <w:p w14:paraId="77E742CC" w14:textId="77777777" w:rsidR="00194BB2" w:rsidRPr="005C595B" w:rsidRDefault="00194BB2" w:rsidP="00F522AE">
            <w:pPr>
              <w:spacing w:after="0" w:line="240" w:lineRule="auto"/>
              <w:rPr>
                <w:szCs w:val="22"/>
              </w:rPr>
            </w:pPr>
          </w:p>
          <w:p w14:paraId="7DFA87E3" w14:textId="5CFE7233" w:rsidR="00511813" w:rsidRDefault="00194BB2" w:rsidP="00F522AE">
            <w:pPr>
              <w:spacing w:after="0" w:line="240" w:lineRule="auto"/>
              <w:rPr>
                <w:rFonts w:cs="Arial"/>
                <w:szCs w:val="22"/>
                <w:lang w:eastAsia="en-AU"/>
              </w:rPr>
            </w:pPr>
            <w:r>
              <w:rPr>
                <w:szCs w:val="22"/>
              </w:rPr>
              <w:t xml:space="preserve">As part of Inland Revenue’s Business Transformation </w:t>
            </w:r>
            <w:r w:rsidR="00961D2E">
              <w:rPr>
                <w:szCs w:val="22"/>
              </w:rPr>
              <w:t>programme</w:t>
            </w:r>
            <w:r>
              <w:rPr>
                <w:szCs w:val="22"/>
              </w:rPr>
              <w:t xml:space="preserve">, the Student Loan Scheme </w:t>
            </w:r>
            <w:r w:rsidR="007B5BE8">
              <w:rPr>
                <w:szCs w:val="22"/>
              </w:rPr>
              <w:t>will mov</w:t>
            </w:r>
            <w:r w:rsidR="00586B07">
              <w:rPr>
                <w:szCs w:val="22"/>
              </w:rPr>
              <w:t>e</w:t>
            </w:r>
            <w:r w:rsidR="007B5BE8">
              <w:rPr>
                <w:szCs w:val="22"/>
              </w:rPr>
              <w:t xml:space="preserve"> to new systems and </w:t>
            </w:r>
            <w:r w:rsidR="00412C21">
              <w:rPr>
                <w:szCs w:val="22"/>
              </w:rPr>
              <w:t>process</w:t>
            </w:r>
            <w:r w:rsidR="007B5BE8">
              <w:rPr>
                <w:szCs w:val="22"/>
              </w:rPr>
              <w:t>es</w:t>
            </w:r>
            <w:r w:rsidR="00412C21">
              <w:rPr>
                <w:szCs w:val="22"/>
              </w:rPr>
              <w:t xml:space="preserve"> </w:t>
            </w:r>
            <w:r w:rsidR="007B5BE8">
              <w:rPr>
                <w:szCs w:val="22"/>
              </w:rPr>
              <w:t>in Ap</w:t>
            </w:r>
            <w:r>
              <w:rPr>
                <w:szCs w:val="22"/>
              </w:rPr>
              <w:t>ril 2020</w:t>
            </w:r>
            <w:r w:rsidR="00586B07">
              <w:rPr>
                <w:szCs w:val="22"/>
              </w:rPr>
              <w:t xml:space="preserve">. </w:t>
            </w:r>
            <w:r>
              <w:rPr>
                <w:szCs w:val="22"/>
              </w:rPr>
              <w:t xml:space="preserve">This transfer process </w:t>
            </w:r>
            <w:r w:rsidRPr="005C595B">
              <w:rPr>
                <w:szCs w:val="22"/>
              </w:rPr>
              <w:t xml:space="preserve">provides an opportunity to </w:t>
            </w:r>
            <w:r>
              <w:rPr>
                <w:szCs w:val="22"/>
              </w:rPr>
              <w:t xml:space="preserve">make legislative changes to </w:t>
            </w:r>
            <w:r w:rsidRPr="005C595B">
              <w:rPr>
                <w:szCs w:val="22"/>
              </w:rPr>
              <w:t xml:space="preserve">reduce the complexity of the </w:t>
            </w:r>
            <w:r w:rsidR="009A10EF">
              <w:rPr>
                <w:szCs w:val="22"/>
              </w:rPr>
              <w:t>student loan rules prior to April 2013</w:t>
            </w:r>
            <w:r w:rsidRPr="005C595B">
              <w:rPr>
                <w:szCs w:val="22"/>
              </w:rPr>
              <w:t xml:space="preserve">, </w:t>
            </w:r>
            <w:r w:rsidR="001E1550">
              <w:t>make it cheaper and easier to make changes to the scheme in the future</w:t>
            </w:r>
            <w:r w:rsidRPr="005C595B">
              <w:rPr>
                <w:szCs w:val="22"/>
              </w:rPr>
              <w:t>, reduce compliance costs (</w:t>
            </w:r>
            <w:r w:rsidR="00EF3CB8">
              <w:rPr>
                <w:szCs w:val="22"/>
              </w:rPr>
              <w:t xml:space="preserve">by </w:t>
            </w:r>
            <w:r w:rsidRPr="005C595B">
              <w:rPr>
                <w:szCs w:val="22"/>
              </w:rPr>
              <w:t>increas</w:t>
            </w:r>
            <w:r w:rsidR="00EF3CB8">
              <w:rPr>
                <w:szCs w:val="22"/>
              </w:rPr>
              <w:t>ing</w:t>
            </w:r>
            <w:r w:rsidRPr="005C595B">
              <w:rPr>
                <w:szCs w:val="22"/>
              </w:rPr>
              <w:t xml:space="preserve"> understanding of rules) for borrowers, and increase consistency between tax and student loans</w:t>
            </w:r>
            <w:r w:rsidR="00586B07">
              <w:rPr>
                <w:szCs w:val="22"/>
              </w:rPr>
              <w:t xml:space="preserve">. </w:t>
            </w:r>
            <w:r w:rsidR="00961D2E">
              <w:rPr>
                <w:szCs w:val="22"/>
              </w:rPr>
              <w:t xml:space="preserve">April </w:t>
            </w:r>
            <w:r w:rsidR="00961D2E">
              <w:t>2013 has been chosen</w:t>
            </w:r>
            <w:r w:rsidR="002A51D4">
              <w:t xml:space="preserve"> as this</w:t>
            </w:r>
            <w:r w:rsidR="002A51D4">
              <w:rPr>
                <w:rFonts w:cs="Arial"/>
                <w:szCs w:val="22"/>
                <w:lang w:eastAsia="en-AU"/>
              </w:rPr>
              <w:t xml:space="preserve"> date captures 93% of all changes to student loan obligations for previous years and is the point where the rules are largely the same as appl</w:t>
            </w:r>
            <w:r w:rsidR="00F522AE">
              <w:rPr>
                <w:rFonts w:cs="Arial"/>
                <w:szCs w:val="22"/>
                <w:lang w:eastAsia="en-AU"/>
              </w:rPr>
              <w:t>y</w:t>
            </w:r>
            <w:r w:rsidR="002A51D4">
              <w:rPr>
                <w:rFonts w:cs="Arial"/>
                <w:szCs w:val="22"/>
                <w:lang w:eastAsia="en-AU"/>
              </w:rPr>
              <w:t xml:space="preserve"> today.</w:t>
            </w:r>
          </w:p>
          <w:p w14:paraId="0F3C125E" w14:textId="77777777" w:rsidR="00455088" w:rsidRDefault="00455088" w:rsidP="00F522AE">
            <w:pPr>
              <w:spacing w:after="0" w:line="240" w:lineRule="auto"/>
              <w:rPr>
                <w:rFonts w:cs="Arial"/>
                <w:szCs w:val="22"/>
                <w:lang w:eastAsia="en-AU"/>
              </w:rPr>
            </w:pPr>
          </w:p>
          <w:p w14:paraId="0E996037" w14:textId="11E8D253" w:rsidR="008F4216" w:rsidRPr="005C595B" w:rsidRDefault="008F4216" w:rsidP="00F522AE">
            <w:pPr>
              <w:spacing w:after="0" w:line="240" w:lineRule="auto"/>
              <w:rPr>
                <w:szCs w:val="22"/>
              </w:rPr>
            </w:pPr>
            <w:r w:rsidRPr="005C595B">
              <w:rPr>
                <w:szCs w:val="22"/>
              </w:rPr>
              <w:t xml:space="preserve">The </w:t>
            </w:r>
            <w:r w:rsidR="00194BB2">
              <w:rPr>
                <w:szCs w:val="22"/>
              </w:rPr>
              <w:t>Student Loan Scheme</w:t>
            </w:r>
            <w:r w:rsidRPr="005C595B">
              <w:rPr>
                <w:szCs w:val="22"/>
              </w:rPr>
              <w:t xml:space="preserve"> was introduced in 1992</w:t>
            </w:r>
            <w:r w:rsidR="007B5BE8">
              <w:rPr>
                <w:szCs w:val="22"/>
              </w:rPr>
              <w:t xml:space="preserve"> and </w:t>
            </w:r>
            <w:r w:rsidRPr="005C595B">
              <w:rPr>
                <w:szCs w:val="22"/>
              </w:rPr>
              <w:t xml:space="preserve">is governed by </w:t>
            </w:r>
            <w:r w:rsidR="00412C21">
              <w:rPr>
                <w:szCs w:val="22"/>
              </w:rPr>
              <w:t xml:space="preserve">the </w:t>
            </w:r>
            <w:r w:rsidR="00194BB2">
              <w:rPr>
                <w:szCs w:val="22"/>
              </w:rPr>
              <w:t>Student Loan Scheme</w:t>
            </w:r>
            <w:r w:rsidRPr="005C595B">
              <w:rPr>
                <w:szCs w:val="22"/>
              </w:rPr>
              <w:t xml:space="preserve"> Act 2011</w:t>
            </w:r>
            <w:r w:rsidR="00412C21">
              <w:rPr>
                <w:szCs w:val="22"/>
              </w:rPr>
              <w:t>,</w:t>
            </w:r>
            <w:r w:rsidRPr="005C595B">
              <w:rPr>
                <w:szCs w:val="22"/>
              </w:rPr>
              <w:t xml:space="preserve"> and loan contracts between the government and each borrower</w:t>
            </w:r>
            <w:r w:rsidR="00586B07">
              <w:rPr>
                <w:szCs w:val="22"/>
              </w:rPr>
              <w:t xml:space="preserve">. </w:t>
            </w:r>
            <w:r w:rsidRPr="005C595B">
              <w:rPr>
                <w:szCs w:val="22"/>
              </w:rPr>
              <w:t xml:space="preserve">A significant number of changes have been made to the </w:t>
            </w:r>
            <w:r w:rsidR="00194BB2">
              <w:rPr>
                <w:szCs w:val="22"/>
              </w:rPr>
              <w:t>Student Loan Scheme</w:t>
            </w:r>
            <w:r w:rsidRPr="005C595B">
              <w:rPr>
                <w:szCs w:val="22"/>
              </w:rPr>
              <w:t xml:space="preserve"> since its introduction with changes being made in 21 of the last 26 years</w:t>
            </w:r>
            <w:bookmarkStart w:id="6" w:name="_Hlk534966782"/>
            <w:r w:rsidR="00586B07">
              <w:rPr>
                <w:szCs w:val="22"/>
              </w:rPr>
              <w:t xml:space="preserve">. </w:t>
            </w:r>
            <w:r w:rsidR="00EC1A9B">
              <w:t xml:space="preserve">Under current legislation, </w:t>
            </w:r>
            <w:r w:rsidR="00586B07">
              <w:t>the importance of</w:t>
            </w:r>
            <w:r w:rsidR="00EC1A9B">
              <w:t xml:space="preserve"> accura</w:t>
            </w:r>
            <w:r w:rsidR="00586B07">
              <w:t>te</w:t>
            </w:r>
            <w:r w:rsidR="00EC1A9B">
              <w:t xml:space="preserve"> borrower’s obligations outweighs compliance and administrative costs</w:t>
            </w:r>
            <w:bookmarkStart w:id="7" w:name="_Hlk531171121"/>
            <w:r w:rsidR="00586B07">
              <w:t xml:space="preserve">. </w:t>
            </w:r>
            <w:r w:rsidR="00967DD0">
              <w:rPr>
                <w:szCs w:val="22"/>
              </w:rPr>
              <w:t xml:space="preserve">For example, </w:t>
            </w:r>
            <w:r w:rsidRPr="005C595B">
              <w:rPr>
                <w:szCs w:val="22"/>
              </w:rPr>
              <w:t xml:space="preserve">either the borrower or Inland Revenue </w:t>
            </w:r>
            <w:r w:rsidR="000775E0">
              <w:rPr>
                <w:szCs w:val="22"/>
              </w:rPr>
              <w:t xml:space="preserve">can seek to amend a </w:t>
            </w:r>
            <w:r w:rsidRPr="005C595B">
              <w:rPr>
                <w:szCs w:val="22"/>
              </w:rPr>
              <w:t>prior year</w:t>
            </w:r>
            <w:r w:rsidR="00B44714">
              <w:rPr>
                <w:szCs w:val="22"/>
              </w:rPr>
              <w:t>’s</w:t>
            </w:r>
            <w:r w:rsidRPr="005C595B">
              <w:rPr>
                <w:szCs w:val="22"/>
              </w:rPr>
              <w:t xml:space="preserve"> loan obligation</w:t>
            </w:r>
            <w:r w:rsidR="000A3F4A">
              <w:rPr>
                <w:szCs w:val="22"/>
              </w:rPr>
              <w:t>,</w:t>
            </w:r>
            <w:r w:rsidR="000775E0">
              <w:rPr>
                <w:szCs w:val="22"/>
              </w:rPr>
              <w:t xml:space="preserve"> </w:t>
            </w:r>
            <w:r w:rsidR="00EA1675">
              <w:rPr>
                <w:szCs w:val="22"/>
              </w:rPr>
              <w:t xml:space="preserve">regardless of the </w:t>
            </w:r>
            <w:r w:rsidR="00F52C8D">
              <w:rPr>
                <w:szCs w:val="22"/>
              </w:rPr>
              <w:t>amount of money</w:t>
            </w:r>
            <w:r w:rsidR="00EA1675">
              <w:rPr>
                <w:szCs w:val="22"/>
              </w:rPr>
              <w:t xml:space="preserve"> involved</w:t>
            </w:r>
            <w:r w:rsidRPr="005C595B">
              <w:rPr>
                <w:szCs w:val="22"/>
              </w:rPr>
              <w:t>.</w:t>
            </w:r>
          </w:p>
          <w:bookmarkEnd w:id="6"/>
          <w:p w14:paraId="2D0CDD12" w14:textId="77777777" w:rsidR="008F4216" w:rsidRDefault="008F4216" w:rsidP="00F522AE">
            <w:pPr>
              <w:spacing w:after="0" w:line="240" w:lineRule="auto"/>
              <w:rPr>
                <w:szCs w:val="22"/>
              </w:rPr>
            </w:pPr>
          </w:p>
          <w:p w14:paraId="6189D321" w14:textId="79BCF15E" w:rsidR="00A8271D" w:rsidRDefault="00EC1A9B" w:rsidP="00F522AE">
            <w:pPr>
              <w:spacing w:after="0" w:line="240" w:lineRule="auto"/>
            </w:pPr>
            <w:r>
              <w:t xml:space="preserve">A repayment obligation is changed where an error is identified in the calculation of </w:t>
            </w:r>
            <w:r w:rsidR="00B44714">
              <w:t xml:space="preserve">a </w:t>
            </w:r>
            <w:r>
              <w:t>borrower’s repayment obligation for a year</w:t>
            </w:r>
            <w:r w:rsidR="00586B07">
              <w:t xml:space="preserve">. </w:t>
            </w:r>
            <w:r w:rsidR="00455088" w:rsidRPr="006E1734">
              <w:t xml:space="preserve">Unlike income tax, </w:t>
            </w:r>
            <w:r w:rsidR="00455088">
              <w:t xml:space="preserve">which </w:t>
            </w:r>
            <w:r w:rsidR="003134F3">
              <w:t xml:space="preserve">generally </w:t>
            </w:r>
            <w:r w:rsidR="00455088">
              <w:t xml:space="preserve">has a period of 4 years from the date a return is filed </w:t>
            </w:r>
            <w:r w:rsidR="00F52C8D">
              <w:t>to make changes to a</w:t>
            </w:r>
            <w:r>
              <w:t xml:space="preserve"> </w:t>
            </w:r>
            <w:r w:rsidR="00F52C8D">
              <w:t>tax obligation</w:t>
            </w:r>
            <w:r w:rsidR="00455088">
              <w:t xml:space="preserve">, </w:t>
            </w:r>
            <w:r w:rsidR="00455088" w:rsidRPr="006E1734">
              <w:t>student loan</w:t>
            </w:r>
            <w:r w:rsidR="00F52C8D">
              <w:t xml:space="preserve"> obligations </w:t>
            </w:r>
            <w:r w:rsidR="00455088">
              <w:t xml:space="preserve">can be </w:t>
            </w:r>
            <w:r w:rsidR="00F52C8D">
              <w:t xml:space="preserve">changed </w:t>
            </w:r>
            <w:r w:rsidR="00455088">
              <w:t>back to the date the loan was taken out</w:t>
            </w:r>
            <w:r w:rsidR="007A0F0B">
              <w:t>, which could</w:t>
            </w:r>
            <w:r w:rsidR="00586B07">
              <w:t xml:space="preserve"> </w:t>
            </w:r>
            <w:r w:rsidR="00A279AA">
              <w:t xml:space="preserve">be </w:t>
            </w:r>
            <w:r w:rsidR="00586B07">
              <w:t>as far</w:t>
            </w:r>
            <w:r w:rsidR="007A0F0B">
              <w:t xml:space="preserve"> back </w:t>
            </w:r>
            <w:r w:rsidR="00586B07">
              <w:t>as</w:t>
            </w:r>
            <w:r w:rsidR="007A0F0B">
              <w:t xml:space="preserve"> 1992 when the loan scheme was introduced</w:t>
            </w:r>
            <w:r w:rsidR="00586B07">
              <w:t xml:space="preserve">. </w:t>
            </w:r>
            <w:r w:rsidR="00455088">
              <w:t>Therefore, where a</w:t>
            </w:r>
            <w:r w:rsidR="00F52C8D">
              <w:t xml:space="preserve"> student loan obligation </w:t>
            </w:r>
            <w:r w:rsidR="00455088">
              <w:t xml:space="preserve">for a previous year </w:t>
            </w:r>
            <w:r w:rsidR="00F52C8D">
              <w:t>changes</w:t>
            </w:r>
            <w:r w:rsidR="00455088">
              <w:t>,</w:t>
            </w:r>
            <w:r w:rsidR="008F4216" w:rsidRPr="005C595B">
              <w:rPr>
                <w:szCs w:val="22"/>
              </w:rPr>
              <w:t xml:space="preserve"> the rules relating to that year apply</w:t>
            </w:r>
            <w:r w:rsidR="00586B07">
              <w:rPr>
                <w:szCs w:val="22"/>
              </w:rPr>
              <w:t xml:space="preserve">. </w:t>
            </w:r>
            <w:r w:rsidR="008F4216" w:rsidRPr="005C595B">
              <w:rPr>
                <w:szCs w:val="22"/>
              </w:rPr>
              <w:t xml:space="preserve">This requirement to retain rules </w:t>
            </w:r>
            <w:r w:rsidR="00455088">
              <w:rPr>
                <w:szCs w:val="22"/>
              </w:rPr>
              <w:t xml:space="preserve">for previous years </w:t>
            </w:r>
            <w:r w:rsidR="008F4216" w:rsidRPr="005C595B">
              <w:rPr>
                <w:szCs w:val="22"/>
              </w:rPr>
              <w:t xml:space="preserve">has increased the complexity of the </w:t>
            </w:r>
            <w:r w:rsidR="00194BB2">
              <w:rPr>
                <w:szCs w:val="22"/>
              </w:rPr>
              <w:t>Student Loan Scheme</w:t>
            </w:r>
            <w:r w:rsidR="009A10EF">
              <w:rPr>
                <w:szCs w:val="22"/>
              </w:rPr>
              <w:t xml:space="preserve"> administration</w:t>
            </w:r>
            <w:r w:rsidR="008F4216" w:rsidRPr="005C595B">
              <w:rPr>
                <w:szCs w:val="22"/>
              </w:rPr>
              <w:t xml:space="preserve">, </w:t>
            </w:r>
            <w:r w:rsidR="009A10EF">
              <w:rPr>
                <w:szCs w:val="22"/>
              </w:rPr>
              <w:t>reduc</w:t>
            </w:r>
            <w:r w:rsidR="008D09E1">
              <w:rPr>
                <w:szCs w:val="22"/>
              </w:rPr>
              <w:t>ed</w:t>
            </w:r>
            <w:r w:rsidR="009A10EF">
              <w:rPr>
                <w:szCs w:val="22"/>
              </w:rPr>
              <w:t xml:space="preserve"> </w:t>
            </w:r>
            <w:r w:rsidR="008D09E1">
              <w:rPr>
                <w:szCs w:val="22"/>
              </w:rPr>
              <w:t xml:space="preserve">the overall customer </w:t>
            </w:r>
            <w:r w:rsidR="009A10EF">
              <w:rPr>
                <w:szCs w:val="22"/>
              </w:rPr>
              <w:t xml:space="preserve">experience by making it difficult </w:t>
            </w:r>
            <w:r w:rsidR="009A10EF" w:rsidRPr="00CB1922">
              <w:t xml:space="preserve">for </w:t>
            </w:r>
            <w:r w:rsidR="008F4216" w:rsidRPr="00CB1922">
              <w:t xml:space="preserve">borrowers to understand changes to their loan </w:t>
            </w:r>
            <w:r w:rsidR="009A10EF" w:rsidRPr="00CB1922">
              <w:t>balance</w:t>
            </w:r>
            <w:r w:rsidR="008D09E1" w:rsidRPr="00CB1922">
              <w:t>,</w:t>
            </w:r>
            <w:r w:rsidR="009A10EF" w:rsidRPr="00CB1922">
              <w:t xml:space="preserve"> and</w:t>
            </w:r>
            <w:r w:rsidR="008F4216" w:rsidRPr="00CB1922">
              <w:t xml:space="preserve"> increase</w:t>
            </w:r>
            <w:r w:rsidR="008D09E1" w:rsidRPr="00CB1922">
              <w:t>d</w:t>
            </w:r>
            <w:r w:rsidR="008F4216" w:rsidRPr="00CB1922">
              <w:t xml:space="preserve"> the administration costs</w:t>
            </w:r>
            <w:r w:rsidR="00586B07">
              <w:t xml:space="preserve">. </w:t>
            </w:r>
            <w:r w:rsidR="00A8271D">
              <w:t>A significant number of the rules relating to previous years have since been repealed.</w:t>
            </w:r>
          </w:p>
          <w:p w14:paraId="7F757FC9" w14:textId="77777777" w:rsidR="00A8271D" w:rsidRPr="00CB1922" w:rsidRDefault="00A8271D" w:rsidP="00F522AE">
            <w:pPr>
              <w:spacing w:after="0" w:line="240" w:lineRule="auto"/>
            </w:pPr>
          </w:p>
          <w:p w14:paraId="59B44A50" w14:textId="77777777" w:rsidR="00B7536B" w:rsidRPr="00374199" w:rsidRDefault="000775E0" w:rsidP="00F522AE">
            <w:pPr>
              <w:spacing w:after="0" w:line="240" w:lineRule="auto"/>
              <w:rPr>
                <w:rFonts w:cs="Arial"/>
                <w:szCs w:val="22"/>
                <w:lang w:eastAsia="en-AU"/>
              </w:rPr>
            </w:pPr>
            <w:r>
              <w:rPr>
                <w:szCs w:val="22"/>
              </w:rPr>
              <w:t xml:space="preserve">Decisions on whether to simplify the </w:t>
            </w:r>
            <w:r w:rsidR="00886373">
              <w:rPr>
                <w:szCs w:val="22"/>
              </w:rPr>
              <w:t>S</w:t>
            </w:r>
            <w:r w:rsidR="00EF3CB8">
              <w:rPr>
                <w:szCs w:val="22"/>
              </w:rPr>
              <w:t xml:space="preserve">tudent </w:t>
            </w:r>
            <w:r w:rsidR="00886373">
              <w:rPr>
                <w:szCs w:val="22"/>
              </w:rPr>
              <w:t>L</w:t>
            </w:r>
            <w:r>
              <w:rPr>
                <w:szCs w:val="22"/>
              </w:rPr>
              <w:t xml:space="preserve">oan </w:t>
            </w:r>
            <w:r w:rsidR="00886373">
              <w:rPr>
                <w:szCs w:val="22"/>
              </w:rPr>
              <w:t>S</w:t>
            </w:r>
            <w:r>
              <w:rPr>
                <w:szCs w:val="22"/>
              </w:rPr>
              <w:t xml:space="preserve">cheme are required </w:t>
            </w:r>
            <w:r w:rsidR="008D09E1">
              <w:rPr>
                <w:szCs w:val="22"/>
              </w:rPr>
              <w:t xml:space="preserve">by March in order </w:t>
            </w:r>
            <w:r w:rsidR="0092648A">
              <w:rPr>
                <w:szCs w:val="22"/>
              </w:rPr>
              <w:t>for</w:t>
            </w:r>
            <w:r w:rsidR="00374199">
              <w:rPr>
                <w:szCs w:val="22"/>
              </w:rPr>
              <w:t xml:space="preserve"> any legislative changes to be enacted in time for an April 2020 application.</w:t>
            </w:r>
          </w:p>
          <w:bookmarkEnd w:id="7"/>
          <w:p w14:paraId="7493C87C" w14:textId="77777777" w:rsidR="008F4216" w:rsidRPr="005C595B" w:rsidRDefault="008F4216" w:rsidP="008F4216">
            <w:pPr>
              <w:spacing w:after="0" w:line="240" w:lineRule="auto"/>
              <w:rPr>
                <w:rFonts w:cs="Arial"/>
                <w:szCs w:val="22"/>
              </w:rPr>
            </w:pPr>
          </w:p>
        </w:tc>
      </w:tr>
    </w:tbl>
    <w:p w14:paraId="7DE24EA6" w14:textId="77777777" w:rsidR="00A16ADD" w:rsidRPr="006F1018" w:rsidRDefault="00A16ADD" w:rsidP="00567434">
      <w:pPr>
        <w:pStyle w:val="spac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6F69" w:rsidRPr="0069218C" w14:paraId="33EF04F9" w14:textId="77777777" w:rsidTr="00800DEC">
        <w:trPr>
          <w:trHeight w:val="77"/>
        </w:trPr>
        <w:tc>
          <w:tcPr>
            <w:tcW w:w="5000" w:type="pct"/>
            <w:shd w:val="clear" w:color="auto" w:fill="99CDDD"/>
          </w:tcPr>
          <w:p w14:paraId="6DF03A07" w14:textId="77777777" w:rsidR="00546F69" w:rsidRPr="00886DFF" w:rsidRDefault="00546F69" w:rsidP="00EC6FAD">
            <w:pPr>
              <w:pStyle w:val="TableHeadings"/>
              <w:rPr>
                <w:b w:val="0"/>
                <w:color w:val="1F4E79"/>
                <w:szCs w:val="22"/>
                <w:lang w:val="en-NZ"/>
              </w:rPr>
            </w:pPr>
            <w:r w:rsidRPr="00886DFF">
              <w:rPr>
                <w:szCs w:val="22"/>
                <w:lang w:val="en-NZ"/>
              </w:rPr>
              <w:t xml:space="preserve">2.2    </w:t>
            </w:r>
            <w:r w:rsidR="00C45246" w:rsidRPr="00886DFF">
              <w:rPr>
                <w:rFonts w:eastAsia="Calibri"/>
                <w:szCs w:val="22"/>
                <w:lang w:val="en-NZ" w:eastAsia="en-US"/>
              </w:rPr>
              <w:t xml:space="preserve">Who is affected and how? </w:t>
            </w:r>
          </w:p>
        </w:tc>
      </w:tr>
      <w:tr w:rsidR="00F132B2" w:rsidRPr="0069218C" w14:paraId="767BEAA3" w14:textId="77777777" w:rsidTr="006F1018">
        <w:trPr>
          <w:trHeight w:val="459"/>
        </w:trPr>
        <w:tc>
          <w:tcPr>
            <w:tcW w:w="5000" w:type="pct"/>
            <w:shd w:val="clear" w:color="auto" w:fill="auto"/>
          </w:tcPr>
          <w:p w14:paraId="739E839E" w14:textId="77777777" w:rsidR="00F132B2" w:rsidRDefault="00F132B2" w:rsidP="00F522AE">
            <w:pPr>
              <w:spacing w:after="0" w:line="240" w:lineRule="auto"/>
              <w:rPr>
                <w:rFonts w:cs="Arial"/>
                <w:szCs w:val="22"/>
              </w:rPr>
            </w:pPr>
          </w:p>
          <w:p w14:paraId="232C4953" w14:textId="1CBF2BAA" w:rsidR="00374199" w:rsidRPr="005C595B" w:rsidRDefault="00374199" w:rsidP="00F522AE">
            <w:pPr>
              <w:spacing w:after="0" w:line="240" w:lineRule="auto"/>
            </w:pPr>
            <w:r>
              <w:rPr>
                <w:rFonts w:cs="Arial"/>
                <w:szCs w:val="22"/>
              </w:rPr>
              <w:t xml:space="preserve">Borrowers affected are those whose obligations prior to 2013 </w:t>
            </w:r>
            <w:r w:rsidR="00F9331E">
              <w:rPr>
                <w:rFonts w:cs="Arial"/>
                <w:szCs w:val="22"/>
              </w:rPr>
              <w:t xml:space="preserve">are </w:t>
            </w:r>
            <w:r w:rsidR="007A0F0B">
              <w:rPr>
                <w:rFonts w:cs="Arial"/>
                <w:szCs w:val="22"/>
              </w:rPr>
              <w:t>amended</w:t>
            </w:r>
            <w:r w:rsidR="00586B07">
              <w:rPr>
                <w:rFonts w:cs="Arial"/>
                <w:szCs w:val="22"/>
              </w:rPr>
              <w:t xml:space="preserve">. </w:t>
            </w:r>
            <w:r w:rsidR="0092648A">
              <w:rPr>
                <w:rFonts w:cs="Arial"/>
                <w:szCs w:val="22"/>
              </w:rPr>
              <w:t xml:space="preserve">In the 2018 year, of </w:t>
            </w:r>
            <w:r>
              <w:t xml:space="preserve">the 700,000 </w:t>
            </w:r>
            <w:r w:rsidR="0092648A">
              <w:t xml:space="preserve">student loan </w:t>
            </w:r>
            <w:r>
              <w:t>borrowers</w:t>
            </w:r>
            <w:r w:rsidR="002D24D6">
              <w:t>,</w:t>
            </w:r>
            <w:r w:rsidR="0092648A">
              <w:t xml:space="preserve"> less than </w:t>
            </w:r>
            <w:r w:rsidR="002F7493">
              <w:t xml:space="preserve">0.2 </w:t>
            </w:r>
            <w:r w:rsidR="00D33F9C">
              <w:t>percent</w:t>
            </w:r>
            <w:r w:rsidR="002F7493">
              <w:t xml:space="preserve"> </w:t>
            </w:r>
            <w:r w:rsidR="0092648A">
              <w:t xml:space="preserve">had their </w:t>
            </w:r>
            <w:r>
              <w:t xml:space="preserve">repayment obligations </w:t>
            </w:r>
            <w:r w:rsidR="002D24D6">
              <w:t>prior to April 2013</w:t>
            </w:r>
            <w:r>
              <w:t xml:space="preserve"> </w:t>
            </w:r>
            <w:r w:rsidR="0092648A">
              <w:t xml:space="preserve">amended </w:t>
            </w:r>
            <w:r>
              <w:t>(1,314)</w:t>
            </w:r>
            <w:r w:rsidR="007A0F0B">
              <w:t xml:space="preserve"> resulting in increased repayment obligations of $1.2 million</w:t>
            </w:r>
            <w:r w:rsidR="00586B07">
              <w:t xml:space="preserve">. </w:t>
            </w:r>
            <w:r>
              <w:t>Th</w:t>
            </w:r>
            <w:r w:rsidR="00CB1922">
              <w:t xml:space="preserve">e </w:t>
            </w:r>
            <w:r w:rsidR="002D24D6">
              <w:t xml:space="preserve">number </w:t>
            </w:r>
            <w:r w:rsidR="00CB1922">
              <w:t xml:space="preserve">of borrows affected </w:t>
            </w:r>
            <w:r w:rsidR="0092648A">
              <w:t xml:space="preserve">is </w:t>
            </w:r>
            <w:r w:rsidRPr="005C595B">
              <w:t xml:space="preserve">expected to reduce significantly by 2020 </w:t>
            </w:r>
            <w:r>
              <w:t xml:space="preserve">due to Inland Revenue’s </w:t>
            </w:r>
            <w:r w:rsidRPr="005C595B">
              <w:t xml:space="preserve">efforts </w:t>
            </w:r>
            <w:r>
              <w:t xml:space="preserve">to </w:t>
            </w:r>
            <w:r w:rsidRPr="005C595B">
              <w:t xml:space="preserve">reduce the number of outstanding </w:t>
            </w:r>
            <w:r w:rsidR="00CB1922">
              <w:t>tax</w:t>
            </w:r>
            <w:r w:rsidRPr="005C595B">
              <w:t xml:space="preserve"> returns</w:t>
            </w:r>
            <w:r>
              <w:t xml:space="preserve"> and to contact non-compliant overseas based borrowers.</w:t>
            </w:r>
          </w:p>
          <w:p w14:paraId="7505B19E" w14:textId="77777777" w:rsidR="0046443D" w:rsidRPr="0069218C" w:rsidRDefault="0046443D" w:rsidP="00D33F9C">
            <w:pPr>
              <w:spacing w:after="0" w:line="240" w:lineRule="auto"/>
              <w:jc w:val="both"/>
              <w:rPr>
                <w:rFonts w:cs="Arial"/>
                <w:szCs w:val="22"/>
              </w:rPr>
            </w:pPr>
          </w:p>
        </w:tc>
      </w:tr>
    </w:tbl>
    <w:p w14:paraId="0AE57351" w14:textId="77777777" w:rsidR="00F522AE" w:rsidRDefault="00F522AE" w:rsidP="00567434">
      <w:pPr>
        <w:pStyle w:val="spacer"/>
        <w:rPr>
          <w:sz w:val="24"/>
          <w:szCs w:val="24"/>
        </w:rPr>
      </w:pPr>
    </w:p>
    <w:p w14:paraId="1F85A6E5" w14:textId="77777777" w:rsidR="000C3197" w:rsidRPr="006F1018" w:rsidRDefault="00F522AE" w:rsidP="00F522A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04CE4" w:rsidRPr="0069218C" w14:paraId="3EABB520" w14:textId="77777777" w:rsidTr="00800DEC">
        <w:trPr>
          <w:trHeight w:val="77"/>
        </w:trPr>
        <w:tc>
          <w:tcPr>
            <w:tcW w:w="5000" w:type="pct"/>
            <w:shd w:val="clear" w:color="auto" w:fill="99CDDD"/>
          </w:tcPr>
          <w:p w14:paraId="65606912" w14:textId="77777777" w:rsidR="00304CE4" w:rsidRPr="00886DFF" w:rsidRDefault="00F63B99" w:rsidP="00EC6FAD">
            <w:pPr>
              <w:pStyle w:val="TableHeadings"/>
              <w:rPr>
                <w:szCs w:val="22"/>
              </w:rPr>
            </w:pPr>
            <w:r w:rsidRPr="00886DFF">
              <w:rPr>
                <w:szCs w:val="22"/>
              </w:rPr>
              <w:lastRenderedPageBreak/>
              <w:t>2.3</w:t>
            </w:r>
            <w:r w:rsidR="002A56F0" w:rsidRPr="00886DFF">
              <w:rPr>
                <w:szCs w:val="22"/>
              </w:rPr>
              <w:t xml:space="preserve">   </w:t>
            </w:r>
            <w:r w:rsidR="00F132B2" w:rsidRPr="00886DFF">
              <w:rPr>
                <w:szCs w:val="22"/>
              </w:rPr>
              <w:t>Are there any constraints on the scope for decision making</w:t>
            </w:r>
            <w:r w:rsidR="00304CE4" w:rsidRPr="00886DFF">
              <w:rPr>
                <w:szCs w:val="22"/>
              </w:rPr>
              <w:t xml:space="preserve">? </w:t>
            </w:r>
          </w:p>
        </w:tc>
      </w:tr>
      <w:tr w:rsidR="00F132B2" w:rsidRPr="0069218C" w14:paraId="2310DF2A" w14:textId="77777777" w:rsidTr="001F6CD2">
        <w:trPr>
          <w:trHeight w:val="1309"/>
        </w:trPr>
        <w:tc>
          <w:tcPr>
            <w:tcW w:w="5000" w:type="pct"/>
            <w:shd w:val="clear" w:color="auto" w:fill="auto"/>
          </w:tcPr>
          <w:p w14:paraId="5C506171" w14:textId="77777777" w:rsidR="009276C5" w:rsidRPr="00EA1675" w:rsidRDefault="009276C5" w:rsidP="00F522AE">
            <w:pPr>
              <w:spacing w:after="0" w:line="240" w:lineRule="auto"/>
              <w:rPr>
                <w:rFonts w:cs="Arial"/>
                <w:szCs w:val="22"/>
              </w:rPr>
            </w:pPr>
          </w:p>
          <w:p w14:paraId="12B71D92" w14:textId="77777777" w:rsidR="009276C5" w:rsidRPr="00EA1675" w:rsidRDefault="009276C5" w:rsidP="00F522AE">
            <w:pPr>
              <w:spacing w:after="0" w:line="240" w:lineRule="auto"/>
              <w:rPr>
                <w:rFonts w:cs="Arial"/>
                <w:szCs w:val="22"/>
              </w:rPr>
            </w:pPr>
            <w:r w:rsidRPr="00EA1675">
              <w:rPr>
                <w:rFonts w:cs="Arial"/>
                <w:szCs w:val="22"/>
              </w:rPr>
              <w:t>The major constraint on our analysis is the time to enact legislation.</w:t>
            </w:r>
          </w:p>
          <w:p w14:paraId="15F624A3" w14:textId="77777777" w:rsidR="001C12FC" w:rsidRPr="00EA1675" w:rsidRDefault="001C12FC" w:rsidP="00F522AE">
            <w:pPr>
              <w:spacing w:after="0" w:line="240" w:lineRule="auto"/>
              <w:rPr>
                <w:rFonts w:cs="Arial"/>
                <w:szCs w:val="22"/>
              </w:rPr>
            </w:pPr>
          </w:p>
          <w:p w14:paraId="1EE83657" w14:textId="7ACD1742" w:rsidR="00455088" w:rsidRPr="0034402B" w:rsidRDefault="00455088" w:rsidP="00F522AE">
            <w:pPr>
              <w:spacing w:after="0" w:line="240" w:lineRule="auto"/>
              <w:rPr>
                <w:rFonts w:cs="Arial"/>
                <w:szCs w:val="22"/>
              </w:rPr>
            </w:pPr>
            <w:r w:rsidRPr="0034402B">
              <w:rPr>
                <w:rFonts w:cs="Arial"/>
                <w:szCs w:val="22"/>
              </w:rPr>
              <w:t>Inland Revenue is part way through a multi-year transformation programme to modernise New Zealand’s revenue system</w:t>
            </w:r>
            <w:r w:rsidR="00586B07">
              <w:rPr>
                <w:rFonts w:cs="Arial"/>
                <w:szCs w:val="22"/>
              </w:rPr>
              <w:t xml:space="preserve">. </w:t>
            </w:r>
            <w:r w:rsidRPr="0034402B">
              <w:rPr>
                <w:rFonts w:cs="Arial"/>
                <w:szCs w:val="22"/>
              </w:rPr>
              <w:t>Business transformation is enabled by a combination of changes to policy, processes, technology and the organisation design of Inland Revenue</w:t>
            </w:r>
            <w:r w:rsidR="00586B07">
              <w:rPr>
                <w:rFonts w:cs="Arial"/>
                <w:szCs w:val="22"/>
              </w:rPr>
              <w:t xml:space="preserve">. </w:t>
            </w:r>
            <w:r w:rsidRPr="0034402B">
              <w:rPr>
                <w:rFonts w:cs="Arial"/>
                <w:szCs w:val="22"/>
              </w:rPr>
              <w:t>It is far more than an upgrade of technology and has provided the opportunity to fundamentally review how the revenue system is administered and consider what changes may be needed.</w:t>
            </w:r>
          </w:p>
          <w:p w14:paraId="4D797921" w14:textId="77777777" w:rsidR="009276C5" w:rsidRPr="00EA1675" w:rsidRDefault="009276C5" w:rsidP="00F522AE">
            <w:pPr>
              <w:spacing w:after="0" w:line="240" w:lineRule="auto"/>
              <w:rPr>
                <w:rFonts w:cs="Arial"/>
                <w:szCs w:val="22"/>
              </w:rPr>
            </w:pPr>
          </w:p>
          <w:p w14:paraId="4828B271" w14:textId="5680B68F" w:rsidR="009276C5" w:rsidRPr="00EA1675" w:rsidRDefault="009276C5" w:rsidP="00F522AE">
            <w:pPr>
              <w:spacing w:after="0" w:line="240" w:lineRule="auto"/>
              <w:rPr>
                <w:rFonts w:cs="Arial"/>
                <w:szCs w:val="22"/>
              </w:rPr>
            </w:pPr>
            <w:r w:rsidRPr="00EA1675">
              <w:rPr>
                <w:rFonts w:cs="Arial"/>
                <w:szCs w:val="22"/>
              </w:rPr>
              <w:t>Options to simplify the prior year</w:t>
            </w:r>
            <w:r w:rsidR="001943BE" w:rsidRPr="00EA1675">
              <w:rPr>
                <w:rFonts w:cs="Arial"/>
                <w:szCs w:val="22"/>
              </w:rPr>
              <w:t>s’</w:t>
            </w:r>
            <w:r w:rsidRPr="00EA1675">
              <w:rPr>
                <w:rFonts w:cs="Arial"/>
                <w:szCs w:val="22"/>
              </w:rPr>
              <w:t xml:space="preserve"> student loan rules require a legislative change</w:t>
            </w:r>
            <w:r w:rsidR="00586B07">
              <w:rPr>
                <w:rFonts w:cs="Arial"/>
                <w:szCs w:val="22"/>
              </w:rPr>
              <w:t xml:space="preserve">. </w:t>
            </w:r>
            <w:r w:rsidR="00C10BF7" w:rsidRPr="00EA1675">
              <w:rPr>
                <w:rFonts w:cs="Arial"/>
                <w:szCs w:val="22"/>
              </w:rPr>
              <w:t>For</w:t>
            </w:r>
            <w:r w:rsidRPr="00EA1675">
              <w:rPr>
                <w:rFonts w:cs="Arial"/>
                <w:szCs w:val="22"/>
              </w:rPr>
              <w:t xml:space="preserve"> legislation to be enacted by April 2020</w:t>
            </w:r>
            <w:r w:rsidR="00586B07">
              <w:rPr>
                <w:rFonts w:cs="Arial"/>
                <w:szCs w:val="22"/>
              </w:rPr>
              <w:t>,</w:t>
            </w:r>
            <w:r w:rsidRPr="00EA1675">
              <w:rPr>
                <w:rFonts w:cs="Arial"/>
                <w:szCs w:val="22"/>
              </w:rPr>
              <w:t xml:space="preserve"> changes would need to be introduced into Parliament in </w:t>
            </w:r>
            <w:r w:rsidR="00CB1922">
              <w:rPr>
                <w:rFonts w:cs="Arial"/>
                <w:szCs w:val="22"/>
              </w:rPr>
              <w:t>mid-</w:t>
            </w:r>
            <w:r w:rsidRPr="00EA1675">
              <w:rPr>
                <w:rFonts w:cs="Arial"/>
                <w:szCs w:val="22"/>
              </w:rPr>
              <w:t xml:space="preserve">2019 and therefore Cabinet decisions on policy changes </w:t>
            </w:r>
            <w:r w:rsidR="00500C15">
              <w:rPr>
                <w:rFonts w:cs="Arial"/>
                <w:szCs w:val="22"/>
              </w:rPr>
              <w:t>are required</w:t>
            </w:r>
            <w:r w:rsidRPr="00EA1675">
              <w:rPr>
                <w:rFonts w:cs="Arial"/>
                <w:szCs w:val="22"/>
              </w:rPr>
              <w:t xml:space="preserve"> in March 2019.</w:t>
            </w:r>
          </w:p>
          <w:p w14:paraId="5C526F84" w14:textId="77777777" w:rsidR="009276C5" w:rsidRPr="00EA1675" w:rsidRDefault="009276C5" w:rsidP="00F522AE">
            <w:pPr>
              <w:spacing w:after="0" w:line="240" w:lineRule="auto"/>
              <w:rPr>
                <w:rFonts w:cs="Arial"/>
                <w:szCs w:val="22"/>
              </w:rPr>
            </w:pPr>
          </w:p>
          <w:p w14:paraId="618D0C51" w14:textId="12337798" w:rsidR="009276C5" w:rsidRPr="00EA1675" w:rsidRDefault="009276C5" w:rsidP="00F522AE">
            <w:pPr>
              <w:spacing w:after="0" w:line="240" w:lineRule="auto"/>
              <w:rPr>
                <w:rFonts w:cs="Arial"/>
                <w:szCs w:val="22"/>
              </w:rPr>
            </w:pPr>
            <w:r w:rsidRPr="00EA1675">
              <w:rPr>
                <w:rFonts w:cs="Arial"/>
                <w:szCs w:val="22"/>
              </w:rPr>
              <w:t>The timeframe to enact legislation has reduced the time available to consult with stakeholders</w:t>
            </w:r>
            <w:r w:rsidR="00586B07">
              <w:rPr>
                <w:rFonts w:cs="Arial"/>
                <w:szCs w:val="22"/>
              </w:rPr>
              <w:t xml:space="preserve">. </w:t>
            </w:r>
            <w:r w:rsidRPr="00EA1675">
              <w:rPr>
                <w:rFonts w:cs="Arial"/>
                <w:szCs w:val="22"/>
              </w:rPr>
              <w:t xml:space="preserve">Inland Revenue </w:t>
            </w:r>
            <w:r w:rsidR="00586B07">
              <w:rPr>
                <w:rFonts w:cs="Arial"/>
                <w:szCs w:val="22"/>
              </w:rPr>
              <w:t>does</w:t>
            </w:r>
            <w:r w:rsidRPr="00EA1675">
              <w:rPr>
                <w:rFonts w:cs="Arial"/>
                <w:szCs w:val="22"/>
              </w:rPr>
              <w:t xml:space="preserve"> not intend to consult sep</w:t>
            </w:r>
            <w:r w:rsidR="001943BE" w:rsidRPr="00EA1675">
              <w:rPr>
                <w:rFonts w:cs="Arial"/>
                <w:szCs w:val="22"/>
              </w:rPr>
              <w:t>arately with affected borrowers</w:t>
            </w:r>
            <w:r w:rsidR="00586B07">
              <w:rPr>
                <w:rFonts w:cs="Arial"/>
                <w:szCs w:val="22"/>
              </w:rPr>
              <w:t xml:space="preserve">. </w:t>
            </w:r>
            <w:r w:rsidR="001943BE" w:rsidRPr="00EA1675">
              <w:rPr>
                <w:rFonts w:cs="Arial"/>
                <w:szCs w:val="22"/>
              </w:rPr>
              <w:t xml:space="preserve">However, mitigating factors are that </w:t>
            </w:r>
            <w:r w:rsidRPr="00EA1675">
              <w:rPr>
                <w:rFonts w:cs="Arial"/>
                <w:szCs w:val="22"/>
              </w:rPr>
              <w:t>the number of borrowers likely to be impacted by the pr</w:t>
            </w:r>
            <w:r w:rsidR="006F1018" w:rsidRPr="00EA1675">
              <w:rPr>
                <w:rFonts w:cs="Arial"/>
                <w:szCs w:val="22"/>
              </w:rPr>
              <w:t>eferred</w:t>
            </w:r>
            <w:r w:rsidRPr="00EA1675">
              <w:rPr>
                <w:rFonts w:cs="Arial"/>
                <w:szCs w:val="22"/>
              </w:rPr>
              <w:t xml:space="preserve"> option </w:t>
            </w:r>
            <w:r w:rsidR="006F1018" w:rsidRPr="00EA1675">
              <w:rPr>
                <w:rFonts w:cs="Arial"/>
                <w:szCs w:val="22"/>
              </w:rPr>
              <w:t>is</w:t>
            </w:r>
            <w:r w:rsidRPr="00EA1675">
              <w:rPr>
                <w:rFonts w:cs="Arial"/>
                <w:szCs w:val="22"/>
              </w:rPr>
              <w:t xml:space="preserve"> small and </w:t>
            </w:r>
            <w:r w:rsidR="005738FE">
              <w:rPr>
                <w:rFonts w:cs="Arial"/>
                <w:szCs w:val="22"/>
              </w:rPr>
              <w:t>p</w:t>
            </w:r>
            <w:r w:rsidR="005738FE" w:rsidRPr="00EA1675">
              <w:rPr>
                <w:rFonts w:cs="Arial"/>
                <w:szCs w:val="22"/>
              </w:rPr>
              <w:t xml:space="preserve">ublic submissions can be made on the proposals at the Select Committee stage </w:t>
            </w:r>
            <w:r w:rsidRPr="00EA1675">
              <w:rPr>
                <w:rFonts w:cs="Arial"/>
                <w:szCs w:val="22"/>
              </w:rPr>
              <w:t>as the Bill progresses though Parliament.</w:t>
            </w:r>
          </w:p>
          <w:p w14:paraId="7B1E78CE" w14:textId="77777777" w:rsidR="009276C5" w:rsidRDefault="009276C5" w:rsidP="00F522AE">
            <w:pPr>
              <w:spacing w:after="0" w:line="240" w:lineRule="auto"/>
              <w:rPr>
                <w:rFonts w:cs="Arial"/>
                <w:szCs w:val="22"/>
              </w:rPr>
            </w:pPr>
          </w:p>
          <w:p w14:paraId="5B0D80ED" w14:textId="2673EE5A" w:rsidR="009276C5" w:rsidRPr="00EA1675" w:rsidRDefault="009276C5" w:rsidP="00F522AE">
            <w:pPr>
              <w:spacing w:after="0" w:line="240" w:lineRule="auto"/>
              <w:rPr>
                <w:rFonts w:cs="Arial"/>
                <w:szCs w:val="22"/>
              </w:rPr>
            </w:pPr>
            <w:r w:rsidRPr="00EA1675">
              <w:rPr>
                <w:rFonts w:cs="Arial"/>
                <w:szCs w:val="22"/>
              </w:rPr>
              <w:t>Another constraint is the impact on the student loan valuation</w:t>
            </w:r>
            <w:r w:rsidR="00586B07">
              <w:rPr>
                <w:rFonts w:cs="Arial"/>
                <w:szCs w:val="22"/>
              </w:rPr>
              <w:t xml:space="preserve">. </w:t>
            </w:r>
            <w:r w:rsidRPr="00EA1675">
              <w:rPr>
                <w:rFonts w:cs="Arial"/>
                <w:szCs w:val="22"/>
              </w:rPr>
              <w:t xml:space="preserve">Options that have an impact on the valuation </w:t>
            </w:r>
            <w:r w:rsidR="005738FE">
              <w:rPr>
                <w:rFonts w:cs="Arial"/>
                <w:szCs w:val="22"/>
              </w:rPr>
              <w:t xml:space="preserve">would </w:t>
            </w:r>
            <w:r w:rsidRPr="00EA1675">
              <w:rPr>
                <w:rFonts w:cs="Arial"/>
                <w:szCs w:val="22"/>
              </w:rPr>
              <w:t>require a Budget bid as part of Budget 2019</w:t>
            </w:r>
            <w:r w:rsidR="00586B07">
              <w:rPr>
                <w:rFonts w:cs="Arial"/>
                <w:szCs w:val="22"/>
              </w:rPr>
              <w:t xml:space="preserve">. </w:t>
            </w:r>
            <w:r w:rsidRPr="00EA1675">
              <w:rPr>
                <w:rFonts w:cs="Arial"/>
                <w:szCs w:val="22"/>
              </w:rPr>
              <w:t>Th</w:t>
            </w:r>
            <w:r w:rsidR="00EA1675">
              <w:rPr>
                <w:rFonts w:cs="Arial"/>
                <w:szCs w:val="22"/>
              </w:rPr>
              <w:t>ese options</w:t>
            </w:r>
            <w:r w:rsidRPr="00EA1675">
              <w:rPr>
                <w:rFonts w:cs="Arial"/>
                <w:szCs w:val="22"/>
              </w:rPr>
              <w:t xml:space="preserve"> would have to be prioritised together with other Government initiatives</w:t>
            </w:r>
            <w:r w:rsidR="00586B07">
              <w:rPr>
                <w:rFonts w:cs="Arial"/>
                <w:szCs w:val="22"/>
              </w:rPr>
              <w:t xml:space="preserve">. </w:t>
            </w:r>
            <w:r w:rsidRPr="00EA1675">
              <w:rPr>
                <w:rFonts w:cs="Arial"/>
                <w:szCs w:val="22"/>
              </w:rPr>
              <w:t>Officials do not propose pursu</w:t>
            </w:r>
            <w:r w:rsidR="00F522AE">
              <w:rPr>
                <w:rFonts w:cs="Arial"/>
                <w:szCs w:val="22"/>
              </w:rPr>
              <w:t>ing</w:t>
            </w:r>
            <w:r w:rsidRPr="00EA1675">
              <w:rPr>
                <w:rFonts w:cs="Arial"/>
                <w:szCs w:val="22"/>
              </w:rPr>
              <w:t xml:space="preserve"> options that </w:t>
            </w:r>
            <w:r w:rsidR="009A10EF">
              <w:rPr>
                <w:rFonts w:cs="Arial"/>
                <w:szCs w:val="22"/>
              </w:rPr>
              <w:t xml:space="preserve">materially </w:t>
            </w:r>
            <w:r w:rsidRPr="00EA1675">
              <w:rPr>
                <w:rFonts w:cs="Arial"/>
                <w:szCs w:val="22"/>
              </w:rPr>
              <w:t>impact on the student loan valuation.</w:t>
            </w:r>
          </w:p>
          <w:p w14:paraId="3017FB4F" w14:textId="77777777" w:rsidR="00F132B2" w:rsidRPr="0069218C" w:rsidRDefault="00F132B2" w:rsidP="00C7655A">
            <w:pPr>
              <w:spacing w:after="0" w:line="276" w:lineRule="auto"/>
              <w:jc w:val="both"/>
              <w:rPr>
                <w:rFonts w:cs="Arial"/>
                <w:szCs w:val="22"/>
              </w:rPr>
            </w:pPr>
          </w:p>
        </w:tc>
      </w:tr>
    </w:tbl>
    <w:p w14:paraId="594E2373" w14:textId="77777777" w:rsidR="001F6CD2" w:rsidRDefault="001F6CD2" w:rsidP="006F1EFF">
      <w:pPr>
        <w:pStyle w:val="Heading2"/>
      </w:pPr>
    </w:p>
    <w:p w14:paraId="25B2E0C6" w14:textId="77777777" w:rsidR="00E92509" w:rsidRDefault="00BE62EB" w:rsidP="006F1EFF">
      <w:pPr>
        <w:pStyle w:val="Heading2"/>
      </w:pPr>
      <w:r w:rsidRPr="002D5734">
        <w:t xml:space="preserve">Section </w:t>
      </w:r>
      <w:r w:rsidR="00051A88">
        <w:t>3</w:t>
      </w:r>
      <w:r w:rsidRPr="002D5734">
        <w:t xml:space="preserve">:  </w:t>
      </w:r>
      <w:r w:rsidR="00304CE4" w:rsidRPr="002D5734">
        <w:t xml:space="preserve">Options </w:t>
      </w:r>
      <w:r w:rsidR="00BE4A62" w:rsidRPr="002D5734">
        <w:t>identific</w:t>
      </w:r>
      <w:r w:rsidR="00304CE4" w:rsidRPr="002D5734">
        <w: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51A88" w:rsidRPr="0069218C" w14:paraId="10271F85" w14:textId="77777777" w:rsidTr="00800DEC">
        <w:trPr>
          <w:trHeight w:val="77"/>
        </w:trPr>
        <w:tc>
          <w:tcPr>
            <w:tcW w:w="5000" w:type="pct"/>
            <w:shd w:val="clear" w:color="auto" w:fill="99CDDD"/>
          </w:tcPr>
          <w:p w14:paraId="5A65D848" w14:textId="77777777" w:rsidR="00051A88" w:rsidRPr="00886DFF" w:rsidRDefault="00B23E8A" w:rsidP="00380585">
            <w:pPr>
              <w:pStyle w:val="TableHeadings"/>
              <w:keepNext/>
              <w:rPr>
                <w:szCs w:val="22"/>
                <w:lang w:val="en-NZ"/>
              </w:rPr>
            </w:pPr>
            <w:r w:rsidRPr="00886DFF">
              <w:rPr>
                <w:szCs w:val="22"/>
                <w:lang w:val="en-NZ"/>
              </w:rPr>
              <w:t>3</w:t>
            </w:r>
            <w:r w:rsidR="00051A88" w:rsidRPr="00886DFF">
              <w:rPr>
                <w:szCs w:val="22"/>
                <w:lang w:val="en-NZ"/>
              </w:rPr>
              <w:t xml:space="preserve">.1   What options have been considered? </w:t>
            </w:r>
          </w:p>
        </w:tc>
      </w:tr>
      <w:tr w:rsidR="009276C5" w:rsidRPr="00EA1675" w14:paraId="0AE3D5AC" w14:textId="77777777" w:rsidTr="00E853F0">
        <w:trPr>
          <w:trHeight w:val="1309"/>
        </w:trPr>
        <w:tc>
          <w:tcPr>
            <w:tcW w:w="5000" w:type="pct"/>
            <w:shd w:val="clear" w:color="auto" w:fill="auto"/>
          </w:tcPr>
          <w:p w14:paraId="47F0F13B" w14:textId="77777777" w:rsidR="00EA1675" w:rsidRPr="00EA1675" w:rsidRDefault="00EA1675" w:rsidP="00F522AE">
            <w:pPr>
              <w:spacing w:after="0" w:line="240" w:lineRule="auto"/>
              <w:rPr>
                <w:rFonts w:eastAsia="Calibri" w:cs="Arial"/>
                <w:szCs w:val="22"/>
                <w:lang w:val="en-NZ" w:eastAsia="en-NZ"/>
              </w:rPr>
            </w:pPr>
          </w:p>
          <w:p w14:paraId="01633BF4" w14:textId="24308AAD" w:rsidR="005738FE" w:rsidRDefault="005738FE" w:rsidP="00F522AE">
            <w:pPr>
              <w:pStyle w:val="NumberedParagraph"/>
              <w:numPr>
                <w:ilvl w:val="0"/>
                <w:numId w:val="0"/>
              </w:numPr>
              <w:spacing w:after="0"/>
              <w:jc w:val="left"/>
              <w:rPr>
                <w:rFonts w:ascii="Arial" w:eastAsia="Times New Roman" w:hAnsi="Arial" w:cs="Arial"/>
                <w:sz w:val="22"/>
                <w:szCs w:val="22"/>
                <w:lang w:val="en-GB" w:eastAsia="en-GB"/>
              </w:rPr>
            </w:pPr>
            <w:r w:rsidRPr="00EA1675">
              <w:rPr>
                <w:rFonts w:ascii="Arial" w:eastAsia="Times New Roman" w:hAnsi="Arial" w:cs="Arial"/>
                <w:sz w:val="22"/>
                <w:szCs w:val="22"/>
                <w:lang w:val="en-GB" w:eastAsia="en-GB"/>
              </w:rPr>
              <w:t xml:space="preserve">Transferring the </w:t>
            </w:r>
            <w:r>
              <w:rPr>
                <w:rFonts w:ascii="Arial" w:eastAsia="Times New Roman" w:hAnsi="Arial" w:cs="Arial"/>
                <w:sz w:val="22"/>
                <w:szCs w:val="22"/>
                <w:lang w:val="en-GB" w:eastAsia="en-GB"/>
              </w:rPr>
              <w:t>Student Loan Scheme</w:t>
            </w:r>
            <w:r w:rsidRPr="00EA1675">
              <w:rPr>
                <w:rFonts w:ascii="Arial" w:eastAsia="Times New Roman" w:hAnsi="Arial" w:cs="Arial"/>
                <w:sz w:val="22"/>
                <w:szCs w:val="22"/>
                <w:lang w:val="en-GB" w:eastAsia="en-GB"/>
              </w:rPr>
              <w:t xml:space="preserve"> to the new </w:t>
            </w:r>
            <w:r w:rsidR="006F3BF1">
              <w:rPr>
                <w:rFonts w:ascii="Arial" w:eastAsia="Times New Roman" w:hAnsi="Arial" w:cs="Arial"/>
                <w:sz w:val="22"/>
                <w:szCs w:val="22"/>
                <w:lang w:val="en-GB" w:eastAsia="en-GB"/>
              </w:rPr>
              <w:t>systems and processes</w:t>
            </w:r>
            <w:r w:rsidRPr="00EA1675">
              <w:rPr>
                <w:rFonts w:ascii="Arial" w:eastAsia="Times New Roman" w:hAnsi="Arial" w:cs="Arial"/>
                <w:sz w:val="22"/>
                <w:szCs w:val="22"/>
                <w:lang w:val="en-GB" w:eastAsia="en-GB"/>
              </w:rPr>
              <w:t xml:space="preserve"> provides an opportunity to reduce the </w:t>
            </w:r>
            <w:r>
              <w:rPr>
                <w:rFonts w:ascii="Arial" w:eastAsia="Times New Roman" w:hAnsi="Arial" w:cs="Arial"/>
                <w:sz w:val="22"/>
                <w:szCs w:val="22"/>
                <w:lang w:val="en-GB" w:eastAsia="en-GB"/>
              </w:rPr>
              <w:t xml:space="preserve">administrative </w:t>
            </w:r>
            <w:r w:rsidRPr="00EA1675">
              <w:rPr>
                <w:rFonts w:ascii="Arial" w:eastAsia="Times New Roman" w:hAnsi="Arial" w:cs="Arial"/>
                <w:sz w:val="22"/>
                <w:szCs w:val="22"/>
                <w:lang w:val="en-GB" w:eastAsia="en-GB"/>
              </w:rPr>
              <w:t xml:space="preserve">complexity of the </w:t>
            </w:r>
            <w:r>
              <w:rPr>
                <w:rFonts w:ascii="Arial" w:eastAsia="Times New Roman" w:hAnsi="Arial" w:cs="Arial"/>
                <w:sz w:val="22"/>
                <w:szCs w:val="22"/>
                <w:lang w:val="en-GB" w:eastAsia="en-GB"/>
              </w:rPr>
              <w:t>Student Loan Scheme</w:t>
            </w:r>
            <w:r w:rsidR="00586B07">
              <w:rPr>
                <w:rFonts w:ascii="Arial" w:eastAsia="Times New Roman" w:hAnsi="Arial" w:cs="Arial"/>
                <w:sz w:val="22"/>
                <w:szCs w:val="22"/>
                <w:lang w:val="en-GB" w:eastAsia="en-GB"/>
              </w:rPr>
              <w:t xml:space="preserve">. </w:t>
            </w:r>
            <w:r>
              <w:rPr>
                <w:rFonts w:ascii="Arial" w:eastAsia="Times New Roman" w:hAnsi="Arial" w:cs="Arial"/>
                <w:sz w:val="22"/>
                <w:szCs w:val="22"/>
                <w:lang w:val="en-GB" w:eastAsia="en-GB"/>
              </w:rPr>
              <w:t>Reducing the complexity of the Student Loan Scheme</w:t>
            </w:r>
            <w:r w:rsidRPr="00EA1675">
              <w:rPr>
                <w:rFonts w:ascii="Arial" w:eastAsia="Times New Roman" w:hAnsi="Arial" w:cs="Arial"/>
                <w:sz w:val="22"/>
                <w:szCs w:val="22"/>
                <w:lang w:val="en-GB" w:eastAsia="en-GB"/>
              </w:rPr>
              <w:t xml:space="preserve"> can only be resolved through legislative changes</w:t>
            </w:r>
            <w:r w:rsidR="00586B07">
              <w:rPr>
                <w:rFonts w:ascii="Arial" w:eastAsia="Times New Roman" w:hAnsi="Arial" w:cs="Arial"/>
                <w:sz w:val="22"/>
                <w:szCs w:val="22"/>
                <w:lang w:val="en-GB" w:eastAsia="en-GB"/>
              </w:rPr>
              <w:t xml:space="preserve">. </w:t>
            </w:r>
            <w:r w:rsidRPr="00EA1675">
              <w:rPr>
                <w:rFonts w:ascii="Arial" w:eastAsia="Times New Roman" w:hAnsi="Arial" w:cs="Arial"/>
                <w:sz w:val="22"/>
                <w:szCs w:val="22"/>
                <w:lang w:val="en-GB" w:eastAsia="en-GB"/>
              </w:rPr>
              <w:t xml:space="preserve">Officials have considered non-legislative </w:t>
            </w:r>
            <w:r w:rsidR="00D2024E">
              <w:rPr>
                <w:rFonts w:ascii="Arial" w:eastAsia="Times New Roman" w:hAnsi="Arial" w:cs="Arial"/>
                <w:sz w:val="22"/>
                <w:szCs w:val="22"/>
                <w:lang w:val="en-GB" w:eastAsia="en-GB"/>
              </w:rPr>
              <w:t>options</w:t>
            </w:r>
            <w:r w:rsidRPr="00EA1675">
              <w:rPr>
                <w:rFonts w:ascii="Arial" w:eastAsia="Times New Roman" w:hAnsi="Arial" w:cs="Arial"/>
                <w:sz w:val="22"/>
                <w:szCs w:val="22"/>
                <w:lang w:val="en-GB" w:eastAsia="en-GB"/>
              </w:rPr>
              <w:t xml:space="preserve">, </w:t>
            </w:r>
            <w:r>
              <w:rPr>
                <w:rFonts w:ascii="Arial" w:eastAsia="Times New Roman" w:hAnsi="Arial" w:cs="Arial"/>
                <w:sz w:val="22"/>
                <w:szCs w:val="22"/>
                <w:lang w:val="en-GB" w:eastAsia="en-GB"/>
              </w:rPr>
              <w:t xml:space="preserve">such as manually undertaking </w:t>
            </w:r>
            <w:r w:rsidR="00F52C8D">
              <w:rPr>
                <w:rFonts w:ascii="Arial" w:eastAsia="Times New Roman" w:hAnsi="Arial" w:cs="Arial"/>
                <w:sz w:val="22"/>
                <w:szCs w:val="22"/>
                <w:lang w:val="en-GB" w:eastAsia="en-GB"/>
              </w:rPr>
              <w:t xml:space="preserve">changes to </w:t>
            </w:r>
            <w:r>
              <w:rPr>
                <w:rFonts w:ascii="Arial" w:eastAsia="Times New Roman" w:hAnsi="Arial" w:cs="Arial"/>
                <w:sz w:val="22"/>
                <w:szCs w:val="22"/>
                <w:lang w:val="en-GB" w:eastAsia="en-GB"/>
              </w:rPr>
              <w:t xml:space="preserve">prior year </w:t>
            </w:r>
            <w:r w:rsidR="00F52C8D">
              <w:rPr>
                <w:rFonts w:ascii="Arial" w:eastAsia="Times New Roman" w:hAnsi="Arial" w:cs="Arial"/>
                <w:sz w:val="22"/>
                <w:szCs w:val="22"/>
                <w:lang w:val="en-GB" w:eastAsia="en-GB"/>
              </w:rPr>
              <w:t>obligations</w:t>
            </w:r>
            <w:r>
              <w:rPr>
                <w:rFonts w:ascii="Arial" w:eastAsia="Times New Roman" w:hAnsi="Arial" w:cs="Arial"/>
                <w:sz w:val="22"/>
                <w:szCs w:val="22"/>
                <w:lang w:val="en-GB" w:eastAsia="en-GB"/>
              </w:rPr>
              <w:t xml:space="preserve">, </w:t>
            </w:r>
            <w:r w:rsidRPr="00EA1675">
              <w:rPr>
                <w:rFonts w:ascii="Arial" w:eastAsia="Times New Roman" w:hAnsi="Arial" w:cs="Arial"/>
                <w:sz w:val="22"/>
                <w:szCs w:val="22"/>
                <w:lang w:val="en-GB" w:eastAsia="en-GB"/>
              </w:rPr>
              <w:t xml:space="preserve">but these </w:t>
            </w:r>
            <w:r>
              <w:rPr>
                <w:rFonts w:ascii="Arial" w:eastAsia="Times New Roman" w:hAnsi="Arial" w:cs="Arial"/>
                <w:sz w:val="22"/>
                <w:szCs w:val="22"/>
                <w:lang w:val="en-GB" w:eastAsia="en-GB"/>
              </w:rPr>
              <w:t xml:space="preserve">options </w:t>
            </w:r>
            <w:r w:rsidRPr="00EA1675">
              <w:rPr>
                <w:rFonts w:ascii="Arial" w:eastAsia="Times New Roman" w:hAnsi="Arial" w:cs="Arial"/>
                <w:sz w:val="22"/>
                <w:szCs w:val="22"/>
                <w:lang w:val="en-GB" w:eastAsia="en-GB"/>
              </w:rPr>
              <w:t xml:space="preserve">may reduce but </w:t>
            </w:r>
            <w:r>
              <w:rPr>
                <w:rFonts w:ascii="Arial" w:eastAsia="Times New Roman" w:hAnsi="Arial" w:cs="Arial"/>
                <w:sz w:val="22"/>
                <w:szCs w:val="22"/>
                <w:lang w:val="en-GB" w:eastAsia="en-GB"/>
              </w:rPr>
              <w:t xml:space="preserve">will </w:t>
            </w:r>
            <w:r w:rsidRPr="00EA1675">
              <w:rPr>
                <w:rFonts w:ascii="Arial" w:eastAsia="Times New Roman" w:hAnsi="Arial" w:cs="Arial"/>
                <w:sz w:val="22"/>
                <w:szCs w:val="22"/>
                <w:lang w:val="en-GB" w:eastAsia="en-GB"/>
              </w:rPr>
              <w:t>not resolve the complexity issue</w:t>
            </w:r>
            <w:r w:rsidR="00586B07">
              <w:rPr>
                <w:rFonts w:ascii="Arial" w:eastAsia="Times New Roman" w:hAnsi="Arial" w:cs="Arial"/>
                <w:sz w:val="22"/>
                <w:szCs w:val="22"/>
                <w:lang w:val="en-GB" w:eastAsia="en-GB"/>
              </w:rPr>
              <w:t xml:space="preserve">. </w:t>
            </w:r>
            <w:r w:rsidRPr="00EA1675">
              <w:rPr>
                <w:rFonts w:ascii="Arial" w:eastAsia="Times New Roman" w:hAnsi="Arial" w:cs="Arial"/>
                <w:sz w:val="22"/>
                <w:szCs w:val="22"/>
                <w:lang w:val="en-GB" w:eastAsia="en-GB"/>
              </w:rPr>
              <w:t>Therefore, the options proposed to simpl</w:t>
            </w:r>
            <w:r w:rsidR="00586B07">
              <w:rPr>
                <w:rFonts w:ascii="Arial" w:eastAsia="Times New Roman" w:hAnsi="Arial" w:cs="Arial"/>
                <w:sz w:val="22"/>
                <w:szCs w:val="22"/>
                <w:lang w:val="en-GB" w:eastAsia="en-GB"/>
              </w:rPr>
              <w:t>ify</w:t>
            </w:r>
            <w:r w:rsidRPr="00EA1675">
              <w:rPr>
                <w:rFonts w:ascii="Arial" w:eastAsia="Times New Roman" w:hAnsi="Arial" w:cs="Arial"/>
                <w:sz w:val="22"/>
                <w:szCs w:val="22"/>
                <w:lang w:val="en-GB" w:eastAsia="en-GB"/>
              </w:rPr>
              <w:t xml:space="preserve"> the </w:t>
            </w:r>
            <w:r w:rsidR="00886373">
              <w:rPr>
                <w:rFonts w:ascii="Arial" w:eastAsia="Times New Roman" w:hAnsi="Arial" w:cs="Arial"/>
                <w:sz w:val="22"/>
                <w:szCs w:val="22"/>
                <w:lang w:val="en-GB" w:eastAsia="en-GB"/>
              </w:rPr>
              <w:t>S</w:t>
            </w:r>
            <w:r w:rsidR="004E5694">
              <w:rPr>
                <w:rFonts w:ascii="Arial" w:eastAsia="Times New Roman" w:hAnsi="Arial" w:cs="Arial"/>
                <w:sz w:val="22"/>
                <w:szCs w:val="22"/>
                <w:lang w:val="en-GB" w:eastAsia="en-GB"/>
              </w:rPr>
              <w:t xml:space="preserve">tudent </w:t>
            </w:r>
            <w:r w:rsidR="00886373">
              <w:rPr>
                <w:rFonts w:ascii="Arial" w:eastAsia="Times New Roman" w:hAnsi="Arial" w:cs="Arial"/>
                <w:sz w:val="22"/>
                <w:szCs w:val="22"/>
                <w:lang w:val="en-GB" w:eastAsia="en-GB"/>
              </w:rPr>
              <w:t>L</w:t>
            </w:r>
            <w:r w:rsidR="004E5694">
              <w:rPr>
                <w:rFonts w:ascii="Arial" w:eastAsia="Times New Roman" w:hAnsi="Arial" w:cs="Arial"/>
                <w:sz w:val="22"/>
                <w:szCs w:val="22"/>
                <w:lang w:val="en-GB" w:eastAsia="en-GB"/>
              </w:rPr>
              <w:t xml:space="preserve">oan </w:t>
            </w:r>
            <w:r w:rsidR="00886373">
              <w:rPr>
                <w:rFonts w:ascii="Arial" w:eastAsia="Times New Roman" w:hAnsi="Arial" w:cs="Arial"/>
                <w:sz w:val="22"/>
                <w:szCs w:val="22"/>
                <w:lang w:val="en-GB" w:eastAsia="en-GB"/>
              </w:rPr>
              <w:t>S</w:t>
            </w:r>
            <w:r w:rsidRPr="00EA1675">
              <w:rPr>
                <w:rFonts w:ascii="Arial" w:eastAsia="Times New Roman" w:hAnsi="Arial" w:cs="Arial"/>
                <w:sz w:val="22"/>
                <w:szCs w:val="22"/>
                <w:lang w:val="en-GB" w:eastAsia="en-GB"/>
              </w:rPr>
              <w:t>cheme are legislative only.</w:t>
            </w:r>
          </w:p>
          <w:p w14:paraId="56FFB91C" w14:textId="77777777" w:rsidR="005738FE" w:rsidRPr="00EA1675" w:rsidRDefault="005738FE" w:rsidP="00F522AE">
            <w:pPr>
              <w:pStyle w:val="NumberedParagraph"/>
              <w:numPr>
                <w:ilvl w:val="0"/>
                <w:numId w:val="0"/>
              </w:numPr>
              <w:spacing w:after="0"/>
              <w:jc w:val="left"/>
              <w:rPr>
                <w:rFonts w:ascii="Arial" w:eastAsia="Times New Roman" w:hAnsi="Arial" w:cs="Arial"/>
                <w:sz w:val="22"/>
                <w:szCs w:val="22"/>
                <w:lang w:val="en-GB" w:eastAsia="en-GB"/>
              </w:rPr>
            </w:pPr>
          </w:p>
          <w:p w14:paraId="2B6D4D3A" w14:textId="77777777" w:rsidR="002F5313" w:rsidRPr="00EA1675" w:rsidRDefault="002F5313" w:rsidP="00F522AE">
            <w:pPr>
              <w:spacing w:after="0" w:line="240" w:lineRule="auto"/>
              <w:rPr>
                <w:rFonts w:eastAsia="Calibri" w:cs="Arial"/>
                <w:szCs w:val="22"/>
                <w:lang w:val="en-NZ" w:eastAsia="en-NZ"/>
              </w:rPr>
            </w:pPr>
            <w:r w:rsidRPr="00EA1675">
              <w:rPr>
                <w:rFonts w:eastAsia="Calibri" w:cs="Arial"/>
                <w:szCs w:val="22"/>
                <w:lang w:val="en-NZ" w:eastAsia="en-NZ"/>
              </w:rPr>
              <w:t xml:space="preserve">The options considered are retaining the status quo and </w:t>
            </w:r>
            <w:r w:rsidR="005738FE">
              <w:rPr>
                <w:rFonts w:eastAsia="Calibri" w:cs="Arial"/>
                <w:szCs w:val="22"/>
                <w:lang w:val="en-NZ" w:eastAsia="en-NZ"/>
              </w:rPr>
              <w:t>two</w:t>
            </w:r>
            <w:r w:rsidRPr="00EA1675">
              <w:rPr>
                <w:rFonts w:eastAsia="Calibri" w:cs="Arial"/>
                <w:szCs w:val="22"/>
                <w:lang w:val="en-NZ" w:eastAsia="en-NZ"/>
              </w:rPr>
              <w:t xml:space="preserve"> options to simplify the </w:t>
            </w:r>
            <w:r w:rsidR="00194BB2">
              <w:rPr>
                <w:rFonts w:eastAsia="Calibri" w:cs="Arial"/>
                <w:szCs w:val="22"/>
                <w:lang w:val="en-NZ" w:eastAsia="en-NZ"/>
              </w:rPr>
              <w:t>Student Loan Scheme</w:t>
            </w:r>
            <w:r w:rsidRPr="00EA1675">
              <w:rPr>
                <w:rFonts w:eastAsia="Calibri" w:cs="Arial"/>
                <w:szCs w:val="22"/>
                <w:lang w:val="en-NZ" w:eastAsia="en-NZ"/>
              </w:rPr>
              <w:t xml:space="preserve"> rules relating to the 2013 and prior years.</w:t>
            </w:r>
          </w:p>
          <w:p w14:paraId="1B387826" w14:textId="77777777" w:rsidR="002F5313" w:rsidRPr="00EA1675" w:rsidRDefault="002F5313" w:rsidP="00F522AE">
            <w:pPr>
              <w:spacing w:after="0" w:line="240" w:lineRule="auto"/>
              <w:rPr>
                <w:rFonts w:eastAsia="Calibri" w:cs="Arial"/>
                <w:szCs w:val="22"/>
                <w:lang w:val="en-NZ" w:eastAsia="en-NZ"/>
              </w:rPr>
            </w:pPr>
          </w:p>
          <w:p w14:paraId="6066079E" w14:textId="77777777" w:rsidR="00051E2D" w:rsidRPr="00EA1675" w:rsidRDefault="00051E2D" w:rsidP="00F522AE">
            <w:pPr>
              <w:spacing w:after="0" w:line="240" w:lineRule="auto"/>
              <w:rPr>
                <w:rFonts w:cs="Arial"/>
                <w:szCs w:val="22"/>
                <w:lang w:eastAsia="en-AU"/>
              </w:rPr>
            </w:pPr>
            <w:r w:rsidRPr="00EA1675">
              <w:rPr>
                <w:rFonts w:cs="Arial"/>
                <w:szCs w:val="22"/>
                <w:lang w:eastAsia="en-AU"/>
              </w:rPr>
              <w:t xml:space="preserve">The policy objective is to implement the </w:t>
            </w:r>
            <w:r w:rsidR="00194BB2">
              <w:rPr>
                <w:rFonts w:cs="Arial"/>
                <w:szCs w:val="22"/>
                <w:lang w:eastAsia="en-AU"/>
              </w:rPr>
              <w:t>Student Loan Scheme</w:t>
            </w:r>
            <w:r w:rsidRPr="00EA1675">
              <w:rPr>
                <w:rFonts w:cs="Arial"/>
                <w:szCs w:val="22"/>
                <w:lang w:eastAsia="en-AU"/>
              </w:rPr>
              <w:t xml:space="preserve"> into </w:t>
            </w:r>
            <w:r w:rsidR="006F3BF1">
              <w:rPr>
                <w:rFonts w:cs="Arial"/>
                <w:szCs w:val="22"/>
                <w:lang w:eastAsia="en-AU"/>
              </w:rPr>
              <w:t>the new systems and processes</w:t>
            </w:r>
            <w:r w:rsidRPr="00EA1675">
              <w:rPr>
                <w:rFonts w:cs="Arial"/>
                <w:szCs w:val="22"/>
                <w:lang w:eastAsia="en-AU"/>
              </w:rPr>
              <w:t xml:space="preserve"> within the timeline (April 2020) </w:t>
            </w:r>
            <w:r w:rsidR="00EA1675">
              <w:rPr>
                <w:rFonts w:cs="Arial"/>
                <w:szCs w:val="22"/>
                <w:lang w:eastAsia="en-AU"/>
              </w:rPr>
              <w:t>and reduce the complexity of the scheme</w:t>
            </w:r>
            <w:r w:rsidR="00E853F0">
              <w:rPr>
                <w:rFonts w:cs="Arial"/>
                <w:szCs w:val="22"/>
                <w:lang w:eastAsia="en-AU"/>
              </w:rPr>
              <w:t>,</w:t>
            </w:r>
            <w:r w:rsidR="00EA1675">
              <w:rPr>
                <w:rFonts w:cs="Arial"/>
                <w:szCs w:val="22"/>
                <w:lang w:eastAsia="en-AU"/>
              </w:rPr>
              <w:t xml:space="preserve"> </w:t>
            </w:r>
            <w:r w:rsidRPr="00EA1675">
              <w:rPr>
                <w:rFonts w:cs="Arial"/>
                <w:szCs w:val="22"/>
                <w:lang w:eastAsia="en-AU"/>
              </w:rPr>
              <w:t xml:space="preserve">whilst ensuring equity among borrowers, and no </w:t>
            </w:r>
            <w:r w:rsidR="00D957E9" w:rsidRPr="00EA1675">
              <w:rPr>
                <w:rFonts w:cs="Arial"/>
                <w:szCs w:val="22"/>
                <w:lang w:eastAsia="en-AU"/>
              </w:rPr>
              <w:t xml:space="preserve">material </w:t>
            </w:r>
            <w:r w:rsidRPr="00EA1675">
              <w:rPr>
                <w:rFonts w:cs="Arial"/>
                <w:szCs w:val="22"/>
                <w:lang w:eastAsia="en-AU"/>
              </w:rPr>
              <w:t>impact on the student loan valuation.</w:t>
            </w:r>
          </w:p>
          <w:p w14:paraId="453F32FB" w14:textId="77777777" w:rsidR="00D957E9" w:rsidRPr="00EA1675" w:rsidRDefault="00D957E9" w:rsidP="00F522AE">
            <w:pPr>
              <w:spacing w:after="0" w:line="240" w:lineRule="auto"/>
              <w:rPr>
                <w:rFonts w:cs="Arial"/>
                <w:szCs w:val="22"/>
                <w:lang w:eastAsia="en-AU"/>
              </w:rPr>
            </w:pPr>
          </w:p>
          <w:p w14:paraId="2493A752" w14:textId="77777777" w:rsidR="00D957E9" w:rsidRDefault="00D957E9" w:rsidP="00F522AE">
            <w:pPr>
              <w:spacing w:after="0" w:line="240" w:lineRule="auto"/>
              <w:rPr>
                <w:rFonts w:eastAsia="Calibri" w:cs="Arial"/>
                <w:szCs w:val="22"/>
                <w:lang w:val="en-NZ" w:eastAsia="en-NZ"/>
              </w:rPr>
            </w:pPr>
            <w:r w:rsidRPr="00EA1675">
              <w:rPr>
                <w:rFonts w:eastAsia="Calibri" w:cs="Arial"/>
                <w:szCs w:val="22"/>
                <w:lang w:val="en-NZ" w:eastAsia="en-NZ"/>
              </w:rPr>
              <w:t>In considering the options, officials evaluated th</w:t>
            </w:r>
            <w:r w:rsidR="00C92AC4" w:rsidRPr="00EA1675">
              <w:rPr>
                <w:rFonts w:eastAsia="Calibri" w:cs="Arial"/>
                <w:szCs w:val="22"/>
                <w:lang w:val="en-NZ" w:eastAsia="en-NZ"/>
              </w:rPr>
              <w:t xml:space="preserve">e options against the following </w:t>
            </w:r>
            <w:r w:rsidR="005738FE">
              <w:rPr>
                <w:rFonts w:eastAsia="Calibri" w:cs="Arial"/>
                <w:szCs w:val="22"/>
                <w:lang w:val="en-NZ" w:eastAsia="en-NZ"/>
              </w:rPr>
              <w:t>criteria</w:t>
            </w:r>
            <w:r w:rsidRPr="00EA1675">
              <w:rPr>
                <w:rFonts w:eastAsia="Calibri" w:cs="Arial"/>
                <w:szCs w:val="22"/>
                <w:lang w:val="en-NZ" w:eastAsia="en-NZ"/>
              </w:rPr>
              <w:t>:</w:t>
            </w:r>
          </w:p>
          <w:p w14:paraId="4F86A9FD" w14:textId="77777777" w:rsidR="00AA7962" w:rsidRPr="00EA1675" w:rsidRDefault="00AA7962" w:rsidP="00F522AE">
            <w:pPr>
              <w:spacing w:after="0" w:line="240" w:lineRule="auto"/>
              <w:rPr>
                <w:rFonts w:eastAsia="Calibri" w:cs="Arial"/>
                <w:szCs w:val="22"/>
                <w:lang w:val="en-NZ" w:eastAsia="en-NZ"/>
              </w:rPr>
            </w:pPr>
          </w:p>
          <w:p w14:paraId="7C342766" w14:textId="77777777" w:rsidR="00D957E9" w:rsidRDefault="00E853F0" w:rsidP="00F522AE">
            <w:pPr>
              <w:numPr>
                <w:ilvl w:val="0"/>
                <w:numId w:val="47"/>
              </w:numPr>
              <w:tabs>
                <w:tab w:val="clear" w:pos="709"/>
              </w:tabs>
              <w:spacing w:after="0" w:line="240" w:lineRule="auto"/>
              <w:ind w:hanging="283"/>
              <w:rPr>
                <w:rFonts w:eastAsia="Calibri" w:cs="Arial"/>
                <w:szCs w:val="22"/>
                <w:lang w:val="en-NZ" w:eastAsia="en-NZ"/>
              </w:rPr>
            </w:pPr>
            <w:r>
              <w:rPr>
                <w:rFonts w:eastAsia="Calibri" w:cs="Arial"/>
                <w:szCs w:val="22"/>
                <w:lang w:val="en-NZ" w:eastAsia="en-NZ"/>
              </w:rPr>
              <w:t>e</w:t>
            </w:r>
            <w:r w:rsidR="00D957E9" w:rsidRPr="00EA1675">
              <w:rPr>
                <w:rFonts w:eastAsia="Calibri" w:cs="Arial"/>
                <w:szCs w:val="22"/>
                <w:lang w:val="en-NZ" w:eastAsia="en-NZ"/>
              </w:rPr>
              <w:t>quity between borrowers (current vers</w:t>
            </w:r>
            <w:r w:rsidR="00F9331E">
              <w:rPr>
                <w:rFonts w:eastAsia="Calibri" w:cs="Arial"/>
                <w:szCs w:val="22"/>
                <w:lang w:val="en-NZ" w:eastAsia="en-NZ"/>
              </w:rPr>
              <w:t>u</w:t>
            </w:r>
            <w:r w:rsidR="00D957E9" w:rsidRPr="00EA1675">
              <w:rPr>
                <w:rFonts w:eastAsia="Calibri" w:cs="Arial"/>
                <w:szCs w:val="22"/>
                <w:lang w:val="en-NZ" w:eastAsia="en-NZ"/>
              </w:rPr>
              <w:t>s past borrowers, compliant vers</w:t>
            </w:r>
            <w:r w:rsidR="005738FE">
              <w:rPr>
                <w:rFonts w:eastAsia="Calibri" w:cs="Arial"/>
                <w:szCs w:val="22"/>
                <w:lang w:val="en-NZ" w:eastAsia="en-NZ"/>
              </w:rPr>
              <w:t>u</w:t>
            </w:r>
            <w:r w:rsidR="00D957E9" w:rsidRPr="00EA1675">
              <w:rPr>
                <w:rFonts w:eastAsia="Calibri" w:cs="Arial"/>
                <w:szCs w:val="22"/>
                <w:lang w:val="en-NZ" w:eastAsia="en-NZ"/>
              </w:rPr>
              <w:t>s non-compliant</w:t>
            </w:r>
            <w:r w:rsidR="00D33B4C" w:rsidRPr="00EA1675">
              <w:rPr>
                <w:rFonts w:eastAsia="Calibri" w:cs="Arial"/>
                <w:szCs w:val="22"/>
                <w:lang w:val="en-NZ" w:eastAsia="en-NZ"/>
              </w:rPr>
              <w:t xml:space="preserve"> borrowers</w:t>
            </w:r>
            <w:r w:rsidR="00D957E9" w:rsidRPr="00EA1675">
              <w:rPr>
                <w:rFonts w:eastAsia="Calibri" w:cs="Arial"/>
                <w:szCs w:val="22"/>
                <w:lang w:val="en-NZ" w:eastAsia="en-NZ"/>
              </w:rPr>
              <w:t>, and New Zealand based vers</w:t>
            </w:r>
            <w:r w:rsidR="005738FE">
              <w:rPr>
                <w:rFonts w:eastAsia="Calibri" w:cs="Arial"/>
                <w:szCs w:val="22"/>
                <w:lang w:val="en-NZ" w:eastAsia="en-NZ"/>
              </w:rPr>
              <w:t>u</w:t>
            </w:r>
            <w:r w:rsidR="00D957E9" w:rsidRPr="00EA1675">
              <w:rPr>
                <w:rFonts w:eastAsia="Calibri" w:cs="Arial"/>
                <w:szCs w:val="22"/>
                <w:lang w:val="en-NZ" w:eastAsia="en-NZ"/>
              </w:rPr>
              <w:t>s overseas based</w:t>
            </w:r>
            <w:r w:rsidR="00D33B4C" w:rsidRPr="00EA1675">
              <w:rPr>
                <w:rFonts w:eastAsia="Calibri" w:cs="Arial"/>
                <w:szCs w:val="22"/>
                <w:lang w:val="en-NZ" w:eastAsia="en-NZ"/>
              </w:rPr>
              <w:t xml:space="preserve"> borrowers</w:t>
            </w:r>
            <w:r w:rsidR="00D957E9" w:rsidRPr="00EA1675">
              <w:rPr>
                <w:rFonts w:eastAsia="Calibri" w:cs="Arial"/>
                <w:szCs w:val="22"/>
                <w:lang w:val="en-NZ" w:eastAsia="en-NZ"/>
              </w:rPr>
              <w:t>);</w:t>
            </w:r>
          </w:p>
          <w:p w14:paraId="77D861BF" w14:textId="77777777" w:rsidR="00E853F0" w:rsidRPr="00EA1675" w:rsidRDefault="00E853F0" w:rsidP="00F522AE">
            <w:pPr>
              <w:spacing w:after="0" w:line="240" w:lineRule="auto"/>
              <w:rPr>
                <w:rFonts w:eastAsia="Calibri" w:cs="Arial"/>
                <w:szCs w:val="22"/>
                <w:lang w:val="en-NZ" w:eastAsia="en-NZ"/>
              </w:rPr>
            </w:pPr>
          </w:p>
          <w:p w14:paraId="432AD998" w14:textId="77777777" w:rsidR="00D957E9" w:rsidRDefault="00D957E9" w:rsidP="00F522AE">
            <w:pPr>
              <w:numPr>
                <w:ilvl w:val="0"/>
                <w:numId w:val="47"/>
              </w:numPr>
              <w:tabs>
                <w:tab w:val="clear" w:pos="709"/>
              </w:tabs>
              <w:spacing w:after="0" w:line="240" w:lineRule="auto"/>
              <w:ind w:hanging="283"/>
              <w:rPr>
                <w:rFonts w:eastAsia="Calibri" w:cs="Arial"/>
                <w:szCs w:val="22"/>
                <w:lang w:val="en-NZ" w:eastAsia="en-NZ"/>
              </w:rPr>
            </w:pPr>
            <w:r w:rsidRPr="00EA1675">
              <w:rPr>
                <w:rFonts w:eastAsia="Calibri" w:cs="Arial"/>
                <w:szCs w:val="22"/>
                <w:lang w:val="en-NZ" w:eastAsia="en-NZ"/>
              </w:rPr>
              <w:t xml:space="preserve">the impact of the complexity of the scheme on both </w:t>
            </w:r>
            <w:r w:rsidR="00E853F0">
              <w:rPr>
                <w:rFonts w:eastAsia="Calibri" w:cs="Arial"/>
                <w:szCs w:val="22"/>
                <w:lang w:val="en-NZ" w:eastAsia="en-NZ"/>
              </w:rPr>
              <w:t xml:space="preserve">the </w:t>
            </w:r>
            <w:r w:rsidRPr="00EA1675">
              <w:rPr>
                <w:rFonts w:eastAsia="Calibri" w:cs="Arial"/>
                <w:szCs w:val="22"/>
                <w:lang w:val="en-NZ" w:eastAsia="en-NZ"/>
              </w:rPr>
              <w:t xml:space="preserve">compliance </w:t>
            </w:r>
            <w:r w:rsidR="00E853F0">
              <w:rPr>
                <w:rFonts w:eastAsia="Calibri" w:cs="Arial"/>
                <w:szCs w:val="22"/>
                <w:lang w:val="en-NZ" w:eastAsia="en-NZ"/>
              </w:rPr>
              <w:t>costs of borrow</w:t>
            </w:r>
            <w:r w:rsidR="009A10EF">
              <w:rPr>
                <w:rFonts w:eastAsia="Calibri" w:cs="Arial"/>
                <w:szCs w:val="22"/>
                <w:lang w:val="en-NZ" w:eastAsia="en-NZ"/>
              </w:rPr>
              <w:t>er</w:t>
            </w:r>
            <w:r w:rsidR="00E853F0">
              <w:rPr>
                <w:rFonts w:eastAsia="Calibri" w:cs="Arial"/>
                <w:szCs w:val="22"/>
                <w:lang w:val="en-NZ" w:eastAsia="en-NZ"/>
              </w:rPr>
              <w:t xml:space="preserve">s </w:t>
            </w:r>
            <w:r w:rsidRPr="00EA1675">
              <w:rPr>
                <w:rFonts w:eastAsia="Calibri" w:cs="Arial"/>
                <w:szCs w:val="22"/>
                <w:lang w:val="en-NZ" w:eastAsia="en-NZ"/>
              </w:rPr>
              <w:t>and administrative costs</w:t>
            </w:r>
            <w:r w:rsidR="00E853F0">
              <w:rPr>
                <w:rFonts w:eastAsia="Calibri" w:cs="Arial"/>
                <w:szCs w:val="22"/>
                <w:lang w:val="en-NZ" w:eastAsia="en-NZ"/>
              </w:rPr>
              <w:t xml:space="preserve"> for Inland Revenue;</w:t>
            </w:r>
          </w:p>
          <w:p w14:paraId="5DEA63C6" w14:textId="77777777" w:rsidR="00E853F0" w:rsidRPr="00EA1675" w:rsidRDefault="00E853F0" w:rsidP="00F522AE">
            <w:pPr>
              <w:spacing w:after="0" w:line="240" w:lineRule="auto"/>
              <w:rPr>
                <w:rFonts w:eastAsia="Calibri" w:cs="Arial"/>
                <w:szCs w:val="22"/>
                <w:lang w:val="en-NZ" w:eastAsia="en-NZ"/>
              </w:rPr>
            </w:pPr>
          </w:p>
          <w:p w14:paraId="04028EAE" w14:textId="77777777" w:rsidR="00D957E9" w:rsidRDefault="00D957E9" w:rsidP="00F522AE">
            <w:pPr>
              <w:numPr>
                <w:ilvl w:val="0"/>
                <w:numId w:val="47"/>
              </w:numPr>
              <w:tabs>
                <w:tab w:val="clear" w:pos="709"/>
              </w:tabs>
              <w:spacing w:after="0" w:line="240" w:lineRule="auto"/>
              <w:ind w:hanging="283"/>
              <w:rPr>
                <w:rFonts w:eastAsia="Calibri" w:cs="Arial"/>
                <w:szCs w:val="22"/>
                <w:lang w:val="en-NZ" w:eastAsia="en-NZ"/>
              </w:rPr>
            </w:pPr>
            <w:r w:rsidRPr="00EA1675">
              <w:rPr>
                <w:rFonts w:eastAsia="Calibri" w:cs="Arial"/>
                <w:szCs w:val="22"/>
                <w:lang w:val="en-NZ" w:eastAsia="en-NZ"/>
              </w:rPr>
              <w:lastRenderedPageBreak/>
              <w:t>the impact o</w:t>
            </w:r>
            <w:r w:rsidR="00E853F0">
              <w:rPr>
                <w:rFonts w:eastAsia="Calibri" w:cs="Arial"/>
                <w:szCs w:val="22"/>
                <w:lang w:val="en-NZ" w:eastAsia="en-NZ"/>
              </w:rPr>
              <w:t>f the options o</w:t>
            </w:r>
            <w:r w:rsidRPr="00EA1675">
              <w:rPr>
                <w:rFonts w:eastAsia="Calibri" w:cs="Arial"/>
                <w:szCs w:val="22"/>
                <w:lang w:val="en-NZ" w:eastAsia="en-NZ"/>
              </w:rPr>
              <w:t>n t</w:t>
            </w:r>
            <w:r w:rsidR="00E853F0">
              <w:rPr>
                <w:rFonts w:eastAsia="Calibri" w:cs="Arial"/>
                <w:szCs w:val="22"/>
                <w:lang w:val="en-NZ" w:eastAsia="en-NZ"/>
              </w:rPr>
              <w:t xml:space="preserve">he valuation of the </w:t>
            </w:r>
            <w:r w:rsidR="00886373">
              <w:rPr>
                <w:rFonts w:eastAsia="Calibri" w:cs="Arial"/>
                <w:szCs w:val="22"/>
                <w:lang w:val="en-NZ" w:eastAsia="en-NZ"/>
              </w:rPr>
              <w:t>S</w:t>
            </w:r>
            <w:r w:rsidR="00EF3CB8">
              <w:rPr>
                <w:rFonts w:eastAsia="Calibri" w:cs="Arial"/>
                <w:szCs w:val="22"/>
                <w:lang w:val="en-NZ" w:eastAsia="en-NZ"/>
              </w:rPr>
              <w:t xml:space="preserve">tudent </w:t>
            </w:r>
            <w:r w:rsidR="00886373">
              <w:rPr>
                <w:rFonts w:eastAsia="Calibri" w:cs="Arial"/>
                <w:szCs w:val="22"/>
                <w:lang w:val="en-NZ" w:eastAsia="en-NZ"/>
              </w:rPr>
              <w:t>L</w:t>
            </w:r>
            <w:r w:rsidR="00E853F0">
              <w:rPr>
                <w:rFonts w:eastAsia="Calibri" w:cs="Arial"/>
                <w:szCs w:val="22"/>
                <w:lang w:val="en-NZ" w:eastAsia="en-NZ"/>
              </w:rPr>
              <w:t xml:space="preserve">oan </w:t>
            </w:r>
            <w:r w:rsidR="00886373">
              <w:rPr>
                <w:rFonts w:eastAsia="Calibri" w:cs="Arial"/>
                <w:szCs w:val="22"/>
                <w:lang w:val="en-NZ" w:eastAsia="en-NZ"/>
              </w:rPr>
              <w:t>S</w:t>
            </w:r>
            <w:r w:rsidR="00E853F0">
              <w:rPr>
                <w:rFonts w:eastAsia="Calibri" w:cs="Arial"/>
                <w:szCs w:val="22"/>
                <w:lang w:val="en-NZ" w:eastAsia="en-NZ"/>
              </w:rPr>
              <w:t>cheme; and</w:t>
            </w:r>
          </w:p>
          <w:p w14:paraId="71286454" w14:textId="77777777" w:rsidR="00E853F0" w:rsidRPr="00EA1675" w:rsidRDefault="00E853F0" w:rsidP="00F522AE">
            <w:pPr>
              <w:spacing w:after="0" w:line="240" w:lineRule="auto"/>
              <w:rPr>
                <w:rFonts w:eastAsia="Calibri" w:cs="Arial"/>
                <w:szCs w:val="22"/>
                <w:lang w:val="en-NZ" w:eastAsia="en-NZ"/>
              </w:rPr>
            </w:pPr>
          </w:p>
          <w:p w14:paraId="359DD06B" w14:textId="77777777" w:rsidR="00D33B4C" w:rsidRPr="00EA1675" w:rsidRDefault="00CB1922" w:rsidP="00F522AE">
            <w:pPr>
              <w:numPr>
                <w:ilvl w:val="0"/>
                <w:numId w:val="47"/>
              </w:numPr>
              <w:tabs>
                <w:tab w:val="clear" w:pos="709"/>
              </w:tabs>
              <w:spacing w:after="0" w:line="240" w:lineRule="auto"/>
              <w:ind w:hanging="283"/>
              <w:rPr>
                <w:rFonts w:eastAsia="Calibri" w:cs="Arial"/>
                <w:szCs w:val="22"/>
                <w:lang w:val="en-NZ" w:eastAsia="en-NZ"/>
              </w:rPr>
            </w:pPr>
            <w:r>
              <w:rPr>
                <w:rFonts w:eastAsia="Calibri" w:cs="Arial"/>
                <w:szCs w:val="22"/>
                <w:lang w:val="en-NZ" w:eastAsia="en-NZ"/>
              </w:rPr>
              <w:t>the cost and time to</w:t>
            </w:r>
            <w:r w:rsidR="00D33B4C" w:rsidRPr="00EA1675">
              <w:rPr>
                <w:rFonts w:eastAsia="Calibri" w:cs="Arial"/>
                <w:szCs w:val="22"/>
                <w:lang w:val="en-NZ" w:eastAsia="en-NZ"/>
              </w:rPr>
              <w:t xml:space="preserve"> make </w:t>
            </w:r>
            <w:r w:rsidR="003207F5">
              <w:rPr>
                <w:rFonts w:eastAsia="Calibri" w:cs="Arial"/>
                <w:szCs w:val="22"/>
                <w:lang w:val="en-NZ" w:eastAsia="en-NZ"/>
              </w:rPr>
              <w:t>p</w:t>
            </w:r>
            <w:r w:rsidR="00D33B4C" w:rsidRPr="00EA1675">
              <w:rPr>
                <w:rFonts w:eastAsia="Calibri" w:cs="Arial"/>
                <w:szCs w:val="22"/>
                <w:lang w:val="en-NZ" w:eastAsia="en-NZ"/>
              </w:rPr>
              <w:t>olicy changes in the future</w:t>
            </w:r>
            <w:r w:rsidR="00F9331E">
              <w:rPr>
                <w:rFonts w:eastAsia="Calibri" w:cs="Arial"/>
                <w:szCs w:val="22"/>
                <w:lang w:val="en-NZ" w:eastAsia="en-NZ"/>
              </w:rPr>
              <w:t>.</w:t>
            </w:r>
          </w:p>
          <w:p w14:paraId="025173EA" w14:textId="77777777" w:rsidR="002F5313" w:rsidRPr="00EA1675" w:rsidRDefault="002F5313" w:rsidP="00F522AE">
            <w:pPr>
              <w:tabs>
                <w:tab w:val="num" w:pos="709"/>
              </w:tabs>
              <w:spacing w:after="0" w:line="240" w:lineRule="auto"/>
              <w:ind w:left="709" w:hanging="709"/>
              <w:rPr>
                <w:rFonts w:eastAsia="Calibri" w:cs="Arial"/>
                <w:szCs w:val="22"/>
                <w:lang w:val="en-NZ" w:eastAsia="en-NZ"/>
              </w:rPr>
            </w:pPr>
          </w:p>
          <w:p w14:paraId="09D87FB9" w14:textId="77777777" w:rsidR="00AA7962" w:rsidRPr="001F4BEF" w:rsidRDefault="00D57CA0" w:rsidP="00F522AE">
            <w:pPr>
              <w:spacing w:after="0" w:line="240" w:lineRule="auto"/>
              <w:rPr>
                <w:rFonts w:eastAsia="Calibri" w:cs="Arial"/>
                <w:b/>
                <w:szCs w:val="22"/>
                <w:lang w:val="en-NZ" w:eastAsia="en-NZ"/>
              </w:rPr>
            </w:pPr>
            <w:r w:rsidRPr="001F4BEF">
              <w:rPr>
                <w:rFonts w:eastAsia="Calibri" w:cs="Arial"/>
                <w:b/>
                <w:szCs w:val="22"/>
                <w:lang w:val="en-NZ" w:eastAsia="en-NZ"/>
              </w:rPr>
              <w:t xml:space="preserve">Option </w:t>
            </w:r>
            <w:r w:rsidR="005738FE">
              <w:rPr>
                <w:rFonts w:eastAsia="Calibri" w:cs="Arial"/>
                <w:b/>
                <w:szCs w:val="22"/>
                <w:lang w:val="en-NZ" w:eastAsia="en-NZ"/>
              </w:rPr>
              <w:t>One:</w:t>
            </w:r>
            <w:r w:rsidRPr="001F4BEF">
              <w:rPr>
                <w:rFonts w:eastAsia="Calibri" w:cs="Arial"/>
                <w:b/>
                <w:szCs w:val="22"/>
                <w:lang w:val="en-NZ" w:eastAsia="en-NZ"/>
              </w:rPr>
              <w:t xml:space="preserve"> </w:t>
            </w:r>
            <w:r w:rsidR="001F6CD2" w:rsidRPr="001F4BEF">
              <w:rPr>
                <w:rFonts w:eastAsia="Calibri" w:cs="Arial"/>
                <w:b/>
                <w:szCs w:val="22"/>
                <w:lang w:val="en-NZ" w:eastAsia="en-NZ"/>
              </w:rPr>
              <w:t>Status quo</w:t>
            </w:r>
            <w:r w:rsidR="009F7B3A">
              <w:rPr>
                <w:rFonts w:eastAsia="Calibri" w:cs="Arial"/>
                <w:b/>
                <w:szCs w:val="22"/>
                <w:lang w:val="en-NZ" w:eastAsia="en-NZ"/>
              </w:rPr>
              <w:t xml:space="preserve"> – implement the rules back to 1992</w:t>
            </w:r>
          </w:p>
          <w:p w14:paraId="51A89A06" w14:textId="3279B950" w:rsidR="001F6CD2" w:rsidRDefault="002F5313" w:rsidP="00F522AE">
            <w:pPr>
              <w:spacing w:after="0" w:line="240" w:lineRule="auto"/>
              <w:rPr>
                <w:rFonts w:eastAsia="Calibri" w:cs="Arial"/>
                <w:szCs w:val="22"/>
                <w:lang w:val="en-NZ" w:eastAsia="en-NZ"/>
              </w:rPr>
            </w:pPr>
            <w:r w:rsidRPr="00EA1675">
              <w:rPr>
                <w:rFonts w:eastAsia="Calibri" w:cs="Arial"/>
                <w:szCs w:val="22"/>
                <w:lang w:val="en-NZ" w:eastAsia="en-NZ"/>
              </w:rPr>
              <w:t xml:space="preserve">This option involves </w:t>
            </w:r>
            <w:r w:rsidR="001F6CD2" w:rsidRPr="00EA1675">
              <w:rPr>
                <w:rFonts w:eastAsia="Calibri" w:cs="Arial"/>
                <w:szCs w:val="22"/>
                <w:lang w:val="en-NZ" w:eastAsia="en-NZ"/>
              </w:rPr>
              <w:t>implement</w:t>
            </w:r>
            <w:r w:rsidRPr="00EA1675">
              <w:rPr>
                <w:rFonts w:eastAsia="Calibri" w:cs="Arial"/>
                <w:szCs w:val="22"/>
                <w:lang w:val="en-NZ" w:eastAsia="en-NZ"/>
              </w:rPr>
              <w:t>ing</w:t>
            </w:r>
            <w:r w:rsidR="001F6CD2" w:rsidRPr="00EA1675">
              <w:rPr>
                <w:rFonts w:eastAsia="Calibri" w:cs="Arial"/>
                <w:szCs w:val="22"/>
                <w:lang w:val="en-NZ" w:eastAsia="en-NZ"/>
              </w:rPr>
              <w:t xml:space="preserve"> all the prior years’ </w:t>
            </w:r>
            <w:r w:rsidR="00D33B4C" w:rsidRPr="00EA1675">
              <w:rPr>
                <w:rFonts w:eastAsia="Calibri" w:cs="Arial"/>
                <w:szCs w:val="22"/>
                <w:lang w:val="en-NZ" w:eastAsia="en-NZ"/>
              </w:rPr>
              <w:t xml:space="preserve">student loan </w:t>
            </w:r>
            <w:r w:rsidR="001F6CD2" w:rsidRPr="00EA1675">
              <w:rPr>
                <w:rFonts w:eastAsia="Calibri" w:cs="Arial"/>
                <w:szCs w:val="22"/>
                <w:lang w:val="en-NZ" w:eastAsia="en-NZ"/>
              </w:rPr>
              <w:t>rules back to 1992</w:t>
            </w:r>
            <w:r w:rsidR="008C2DCC">
              <w:rPr>
                <w:rFonts w:eastAsia="Calibri" w:cs="Arial"/>
                <w:szCs w:val="22"/>
                <w:lang w:val="en-NZ" w:eastAsia="en-NZ"/>
              </w:rPr>
              <w:t xml:space="preserve"> into new systems and processes</w:t>
            </w:r>
            <w:r w:rsidR="00586B07">
              <w:rPr>
                <w:rFonts w:eastAsia="Calibri" w:cs="Arial"/>
                <w:szCs w:val="22"/>
                <w:lang w:val="en-NZ" w:eastAsia="en-NZ"/>
              </w:rPr>
              <w:t xml:space="preserve">. </w:t>
            </w:r>
            <w:r w:rsidR="000A2A20">
              <w:t xml:space="preserve">However, as student loans repayments for New Zealand based borrows </w:t>
            </w:r>
            <w:r w:rsidR="00F522AE">
              <w:t>are</w:t>
            </w:r>
            <w:r w:rsidR="000A2A20">
              <w:t xml:space="preserve"> based on income for tax purposes</w:t>
            </w:r>
            <w:r w:rsidR="00586B07">
              <w:t>,</w:t>
            </w:r>
            <w:r w:rsidR="000A2A20">
              <w:t xml:space="preserve"> and as income tax </w:t>
            </w:r>
            <w:r w:rsidR="00134741">
              <w:t xml:space="preserve">generally </w:t>
            </w:r>
            <w:r w:rsidR="000A2A20">
              <w:t>has a period of 4 years for making changes to tax obligations, there will be no income generated student loan changes prior to 2013</w:t>
            </w:r>
            <w:r w:rsidR="00586B07">
              <w:t xml:space="preserve">. </w:t>
            </w:r>
            <w:r w:rsidR="00F52C8D">
              <w:rPr>
                <w:rFonts w:eastAsia="Calibri" w:cs="Arial"/>
                <w:szCs w:val="22"/>
                <w:lang w:val="en-NZ" w:eastAsia="en-NZ"/>
              </w:rPr>
              <w:t xml:space="preserve">Changes to loan obligations prior to 2013 would be those where fraud or non-filing of tax returns is </w:t>
            </w:r>
            <w:proofErr w:type="gramStart"/>
            <w:r w:rsidR="00F52C8D">
              <w:rPr>
                <w:rFonts w:eastAsia="Calibri" w:cs="Arial"/>
                <w:szCs w:val="22"/>
                <w:lang w:val="en-NZ" w:eastAsia="en-NZ"/>
              </w:rPr>
              <w:t>involved</w:t>
            </w:r>
            <w:proofErr w:type="gramEnd"/>
            <w:r w:rsidR="003134F3">
              <w:rPr>
                <w:rFonts w:eastAsia="Calibri" w:cs="Arial"/>
                <w:szCs w:val="22"/>
                <w:lang w:val="en-NZ" w:eastAsia="en-NZ"/>
              </w:rPr>
              <w:t xml:space="preserve"> and it is cost effective to do so</w:t>
            </w:r>
            <w:r w:rsidR="009F7B3A">
              <w:rPr>
                <w:rFonts w:eastAsia="Calibri" w:cs="Arial"/>
                <w:szCs w:val="22"/>
                <w:lang w:val="en-NZ" w:eastAsia="en-NZ"/>
              </w:rPr>
              <w:t xml:space="preserve">, </w:t>
            </w:r>
            <w:r w:rsidR="001F6CD2" w:rsidRPr="00EA1675">
              <w:rPr>
                <w:rFonts w:eastAsia="Calibri" w:cs="Arial"/>
                <w:szCs w:val="22"/>
                <w:lang w:val="en-NZ" w:eastAsia="en-NZ"/>
              </w:rPr>
              <w:t>change</w:t>
            </w:r>
            <w:r w:rsidR="009F7B3A">
              <w:rPr>
                <w:rFonts w:eastAsia="Calibri" w:cs="Arial"/>
                <w:szCs w:val="22"/>
                <w:lang w:val="en-NZ" w:eastAsia="en-NZ"/>
              </w:rPr>
              <w:t>s</w:t>
            </w:r>
            <w:r w:rsidR="001F6CD2" w:rsidRPr="00EA1675">
              <w:rPr>
                <w:rFonts w:eastAsia="Calibri" w:cs="Arial"/>
                <w:szCs w:val="22"/>
                <w:lang w:val="en-NZ" w:eastAsia="en-NZ"/>
              </w:rPr>
              <w:t xml:space="preserve"> in residence status</w:t>
            </w:r>
            <w:r w:rsidRPr="00EA1675">
              <w:rPr>
                <w:rFonts w:eastAsia="Calibri" w:cs="Arial"/>
                <w:szCs w:val="22"/>
                <w:lang w:val="en-NZ" w:eastAsia="en-NZ"/>
              </w:rPr>
              <w:t>,</w:t>
            </w:r>
            <w:r w:rsidR="001F6CD2" w:rsidRPr="00EA1675">
              <w:rPr>
                <w:rFonts w:eastAsia="Calibri" w:cs="Arial"/>
                <w:szCs w:val="22"/>
                <w:lang w:val="en-NZ" w:eastAsia="en-NZ"/>
              </w:rPr>
              <w:t xml:space="preserve"> </w:t>
            </w:r>
            <w:r w:rsidR="009F7B3A">
              <w:rPr>
                <w:rFonts w:eastAsia="Calibri" w:cs="Arial"/>
                <w:szCs w:val="22"/>
                <w:lang w:val="en-NZ" w:eastAsia="en-NZ"/>
              </w:rPr>
              <w:t xml:space="preserve">or changes due to other student loan rules such as </w:t>
            </w:r>
            <w:r w:rsidR="001F6CD2" w:rsidRPr="00EA1675">
              <w:rPr>
                <w:rFonts w:eastAsia="Calibri" w:cs="Arial"/>
                <w:szCs w:val="22"/>
                <w:lang w:val="en-NZ" w:eastAsia="en-NZ"/>
              </w:rPr>
              <w:t>repayment holiday entitlement</w:t>
            </w:r>
            <w:r w:rsidRPr="00EA1675">
              <w:rPr>
                <w:rFonts w:eastAsia="Calibri" w:cs="Arial"/>
                <w:szCs w:val="22"/>
                <w:lang w:val="en-NZ" w:eastAsia="en-NZ"/>
              </w:rPr>
              <w:t>, or entitlement to the voluntary repayment bonus</w:t>
            </w:r>
            <w:r w:rsidR="001F6CD2" w:rsidRPr="00EA1675">
              <w:rPr>
                <w:rFonts w:eastAsia="Calibri" w:cs="Arial"/>
                <w:szCs w:val="22"/>
                <w:lang w:val="en-NZ" w:eastAsia="en-NZ"/>
              </w:rPr>
              <w:t>.</w:t>
            </w:r>
          </w:p>
          <w:p w14:paraId="4C29C364" w14:textId="77777777" w:rsidR="005E2C68" w:rsidRDefault="005E2C68" w:rsidP="00F522AE">
            <w:pPr>
              <w:spacing w:after="0" w:line="240" w:lineRule="auto"/>
              <w:rPr>
                <w:rFonts w:eastAsia="Calibri" w:cs="Arial"/>
                <w:szCs w:val="22"/>
                <w:lang w:val="en-NZ" w:eastAsia="en-NZ"/>
              </w:rPr>
            </w:pPr>
          </w:p>
          <w:p w14:paraId="7939C178" w14:textId="15AD0EDB" w:rsidR="000A2A20" w:rsidRDefault="005E2C68" w:rsidP="00F522AE">
            <w:pPr>
              <w:spacing w:after="0" w:line="240" w:lineRule="auto"/>
              <w:rPr>
                <w:rFonts w:cs="Arial"/>
                <w:szCs w:val="22"/>
                <w:lang w:eastAsia="en-AU"/>
              </w:rPr>
            </w:pPr>
            <w:r>
              <w:rPr>
                <w:rFonts w:cs="Arial"/>
                <w:szCs w:val="22"/>
              </w:rPr>
              <w:t xml:space="preserve">This option would have </w:t>
            </w:r>
            <w:r w:rsidRPr="00EA1675">
              <w:rPr>
                <w:rFonts w:cs="Arial"/>
                <w:szCs w:val="22"/>
              </w:rPr>
              <w:t xml:space="preserve">no </w:t>
            </w:r>
            <w:r w:rsidR="003134F3">
              <w:rPr>
                <w:rFonts w:cs="Arial"/>
                <w:szCs w:val="22"/>
              </w:rPr>
              <w:t xml:space="preserve">material </w:t>
            </w:r>
            <w:r w:rsidRPr="00EA1675">
              <w:rPr>
                <w:rFonts w:cs="Arial"/>
                <w:szCs w:val="22"/>
              </w:rPr>
              <w:t>impact on the student loan valuation and retains the current equity among borrowers</w:t>
            </w:r>
            <w:r w:rsidR="00586B07">
              <w:rPr>
                <w:rFonts w:cs="Arial"/>
                <w:szCs w:val="22"/>
              </w:rPr>
              <w:t xml:space="preserve">. </w:t>
            </w:r>
            <w:r w:rsidRPr="00EA1675">
              <w:rPr>
                <w:rFonts w:cs="Arial"/>
                <w:szCs w:val="22"/>
              </w:rPr>
              <w:t xml:space="preserve">However, </w:t>
            </w:r>
            <w:r>
              <w:rPr>
                <w:rFonts w:cs="Arial"/>
                <w:szCs w:val="22"/>
              </w:rPr>
              <w:t>it retains</w:t>
            </w:r>
            <w:r w:rsidRPr="00EA1675">
              <w:rPr>
                <w:rFonts w:cs="Arial"/>
                <w:szCs w:val="22"/>
              </w:rPr>
              <w:t xml:space="preserve"> the current complex rules </w:t>
            </w:r>
            <w:r w:rsidR="004B2E31">
              <w:rPr>
                <w:rFonts w:cs="Arial"/>
                <w:szCs w:val="22"/>
              </w:rPr>
              <w:t xml:space="preserve">prior to April 2013 </w:t>
            </w:r>
            <w:r>
              <w:rPr>
                <w:rFonts w:cs="Arial"/>
                <w:szCs w:val="22"/>
              </w:rPr>
              <w:t>which</w:t>
            </w:r>
            <w:r w:rsidRPr="00EA1675">
              <w:rPr>
                <w:rFonts w:cs="Arial"/>
                <w:szCs w:val="22"/>
              </w:rPr>
              <w:t xml:space="preserve"> would </w:t>
            </w:r>
            <w:r>
              <w:rPr>
                <w:rFonts w:cs="Arial"/>
                <w:szCs w:val="22"/>
              </w:rPr>
              <w:t xml:space="preserve">need to </w:t>
            </w:r>
            <w:r w:rsidRPr="00EA1675">
              <w:rPr>
                <w:rFonts w:cs="Arial"/>
                <w:szCs w:val="22"/>
              </w:rPr>
              <w:t xml:space="preserve">be built into </w:t>
            </w:r>
            <w:r w:rsidR="006F3BF1">
              <w:rPr>
                <w:rFonts w:cs="Arial"/>
                <w:szCs w:val="22"/>
              </w:rPr>
              <w:t>new systems and processes</w:t>
            </w:r>
            <w:r w:rsidR="00586B07">
              <w:rPr>
                <w:rFonts w:cs="Arial"/>
                <w:szCs w:val="22"/>
              </w:rPr>
              <w:t xml:space="preserve">. </w:t>
            </w:r>
            <w:r>
              <w:rPr>
                <w:rFonts w:cs="Arial"/>
                <w:szCs w:val="22"/>
              </w:rPr>
              <w:t>This</w:t>
            </w:r>
            <w:r w:rsidRPr="00EA1675">
              <w:rPr>
                <w:rFonts w:cs="Arial"/>
                <w:szCs w:val="22"/>
              </w:rPr>
              <w:t xml:space="preserve"> complexity </w:t>
            </w:r>
            <w:r w:rsidR="00833BA0">
              <w:rPr>
                <w:rFonts w:cs="Arial"/>
                <w:szCs w:val="22"/>
              </w:rPr>
              <w:t xml:space="preserve">imposes administration costs on the government and would impact very few </w:t>
            </w:r>
            <w:proofErr w:type="gramStart"/>
            <w:r w:rsidR="00833BA0">
              <w:rPr>
                <w:rFonts w:cs="Arial"/>
                <w:szCs w:val="22"/>
              </w:rPr>
              <w:t>borrowers.</w:t>
            </w:r>
            <w:r w:rsidR="00586B07">
              <w:rPr>
                <w:rFonts w:cs="Arial"/>
                <w:szCs w:val="22"/>
              </w:rPr>
              <w:t>.</w:t>
            </w:r>
            <w:proofErr w:type="gramEnd"/>
            <w:r w:rsidR="00586B07">
              <w:rPr>
                <w:rFonts w:cs="Arial"/>
                <w:szCs w:val="22"/>
              </w:rPr>
              <w:t xml:space="preserve"> </w:t>
            </w:r>
            <w:r w:rsidR="000A2A20">
              <w:rPr>
                <w:rFonts w:cs="Arial"/>
                <w:szCs w:val="22"/>
              </w:rPr>
              <w:t xml:space="preserve">Also, </w:t>
            </w:r>
            <w:r w:rsidR="000A2A20" w:rsidRPr="00EA1675">
              <w:rPr>
                <w:rFonts w:cs="Arial"/>
                <w:szCs w:val="22"/>
                <w:lang w:eastAsia="en-AU"/>
              </w:rPr>
              <w:t xml:space="preserve">future policy changes </w:t>
            </w:r>
            <w:r w:rsidR="00586B07">
              <w:rPr>
                <w:rFonts w:cs="Arial"/>
                <w:szCs w:val="22"/>
                <w:lang w:eastAsia="en-AU"/>
              </w:rPr>
              <w:t>should still</w:t>
            </w:r>
            <w:r w:rsidR="000A2A20" w:rsidRPr="00EA1675">
              <w:rPr>
                <w:rFonts w:cs="Arial"/>
                <w:szCs w:val="22"/>
                <w:lang w:eastAsia="en-AU"/>
              </w:rPr>
              <w:t xml:space="preserve"> accommodate the rules</w:t>
            </w:r>
            <w:r w:rsidR="000A2A20">
              <w:rPr>
                <w:rFonts w:cs="Arial"/>
                <w:szCs w:val="22"/>
                <w:lang w:eastAsia="en-AU"/>
              </w:rPr>
              <w:t xml:space="preserve"> prior to 1 April 2013.</w:t>
            </w:r>
          </w:p>
          <w:p w14:paraId="37C0193F" w14:textId="77777777" w:rsidR="008C2DCC" w:rsidRDefault="008C2DCC" w:rsidP="00F522AE">
            <w:pPr>
              <w:spacing w:after="0" w:line="240" w:lineRule="auto"/>
              <w:rPr>
                <w:rFonts w:cs="Arial"/>
                <w:szCs w:val="22"/>
                <w:lang w:eastAsia="en-AU"/>
              </w:rPr>
            </w:pPr>
          </w:p>
          <w:p w14:paraId="5F955B14" w14:textId="77777777" w:rsidR="008C2DCC" w:rsidRPr="00EA1675" w:rsidRDefault="008C2DCC" w:rsidP="00F522AE">
            <w:pPr>
              <w:spacing w:after="0" w:line="240" w:lineRule="auto"/>
              <w:rPr>
                <w:rFonts w:cs="Arial"/>
                <w:szCs w:val="22"/>
              </w:rPr>
            </w:pPr>
            <w:r>
              <w:rPr>
                <w:rFonts w:cs="Arial"/>
                <w:szCs w:val="22"/>
                <w:lang w:eastAsia="en-AU"/>
              </w:rPr>
              <w:t>This option is not preferred by officials.</w:t>
            </w:r>
          </w:p>
          <w:p w14:paraId="7FD3FC42" w14:textId="77777777" w:rsidR="001F6CD2" w:rsidRPr="00EA1675" w:rsidRDefault="001F6CD2" w:rsidP="00F522AE">
            <w:pPr>
              <w:spacing w:after="0" w:line="240" w:lineRule="auto"/>
              <w:rPr>
                <w:rFonts w:cs="Arial"/>
                <w:szCs w:val="22"/>
              </w:rPr>
            </w:pPr>
          </w:p>
          <w:p w14:paraId="028162B2" w14:textId="2B1FB051" w:rsidR="00AA7962" w:rsidRPr="000A3F4A" w:rsidRDefault="00D57CA0" w:rsidP="00F522AE">
            <w:pPr>
              <w:pStyle w:val="NumberedParagraph"/>
              <w:numPr>
                <w:ilvl w:val="0"/>
                <w:numId w:val="0"/>
              </w:numPr>
              <w:tabs>
                <w:tab w:val="left" w:pos="720"/>
              </w:tabs>
              <w:spacing w:after="0"/>
              <w:jc w:val="left"/>
              <w:rPr>
                <w:rFonts w:ascii="Arial" w:eastAsia="Times New Roman" w:hAnsi="Arial" w:cs="Arial"/>
                <w:b/>
                <w:sz w:val="22"/>
                <w:szCs w:val="22"/>
                <w:lang w:val="en-GB" w:eastAsia="en-GB"/>
              </w:rPr>
            </w:pPr>
            <w:r w:rsidRPr="000A3F4A">
              <w:rPr>
                <w:rFonts w:ascii="Arial" w:eastAsia="Times New Roman" w:hAnsi="Arial" w:cs="Arial"/>
                <w:b/>
                <w:sz w:val="22"/>
                <w:szCs w:val="22"/>
                <w:lang w:val="en-GB" w:eastAsia="en-GB"/>
              </w:rPr>
              <w:t xml:space="preserve">Option </w:t>
            </w:r>
            <w:r w:rsidR="00586B07">
              <w:rPr>
                <w:rFonts w:ascii="Arial" w:eastAsia="Times New Roman" w:hAnsi="Arial" w:cs="Arial"/>
                <w:b/>
                <w:sz w:val="22"/>
                <w:szCs w:val="22"/>
                <w:lang w:val="en-GB" w:eastAsia="en-GB"/>
              </w:rPr>
              <w:t>T</w:t>
            </w:r>
            <w:r w:rsidR="005738FE">
              <w:rPr>
                <w:rFonts w:ascii="Arial" w:eastAsia="Times New Roman" w:hAnsi="Arial" w:cs="Arial"/>
                <w:b/>
                <w:sz w:val="22"/>
                <w:szCs w:val="22"/>
                <w:lang w:val="en-GB" w:eastAsia="en-GB"/>
              </w:rPr>
              <w:t>wo:</w:t>
            </w:r>
            <w:r w:rsidRPr="000A3F4A">
              <w:rPr>
                <w:rFonts w:ascii="Arial" w:eastAsia="Times New Roman" w:hAnsi="Arial" w:cs="Arial"/>
                <w:b/>
                <w:sz w:val="22"/>
                <w:szCs w:val="22"/>
                <w:lang w:val="en-GB" w:eastAsia="en-GB"/>
              </w:rPr>
              <w:t xml:space="preserve"> </w:t>
            </w:r>
            <w:r w:rsidR="00DB443A" w:rsidRPr="000A3F4A">
              <w:rPr>
                <w:rFonts w:ascii="Arial" w:eastAsia="Times New Roman" w:hAnsi="Arial" w:cs="Arial"/>
                <w:b/>
                <w:sz w:val="22"/>
                <w:szCs w:val="22"/>
                <w:lang w:val="en-GB" w:eastAsia="en-GB"/>
              </w:rPr>
              <w:t xml:space="preserve">No </w:t>
            </w:r>
            <w:r w:rsidR="00163ADE" w:rsidRPr="000A3F4A">
              <w:rPr>
                <w:rFonts w:ascii="Arial" w:eastAsia="Times New Roman" w:hAnsi="Arial" w:cs="Arial"/>
                <w:b/>
                <w:sz w:val="22"/>
                <w:szCs w:val="22"/>
                <w:lang w:val="en-GB" w:eastAsia="en-GB"/>
              </w:rPr>
              <w:t xml:space="preserve">new </w:t>
            </w:r>
            <w:r w:rsidR="00E759DF">
              <w:rPr>
                <w:rFonts w:ascii="Arial" w:eastAsia="Times New Roman" w:hAnsi="Arial" w:cs="Arial"/>
                <w:b/>
                <w:sz w:val="22"/>
                <w:szCs w:val="22"/>
                <w:lang w:val="en-GB" w:eastAsia="en-GB"/>
              </w:rPr>
              <w:t xml:space="preserve">changes to </w:t>
            </w:r>
            <w:r w:rsidR="000A3F4A">
              <w:rPr>
                <w:rFonts w:ascii="Arial" w:eastAsia="Times New Roman" w:hAnsi="Arial" w:cs="Arial"/>
                <w:b/>
                <w:sz w:val="22"/>
                <w:szCs w:val="22"/>
                <w:lang w:val="en-GB" w:eastAsia="en-GB"/>
              </w:rPr>
              <w:t>re</w:t>
            </w:r>
            <w:r w:rsidR="00E759DF">
              <w:rPr>
                <w:rFonts w:ascii="Arial" w:eastAsia="Times New Roman" w:hAnsi="Arial" w:cs="Arial"/>
                <w:b/>
                <w:sz w:val="22"/>
                <w:szCs w:val="22"/>
                <w:lang w:val="en-GB" w:eastAsia="en-GB"/>
              </w:rPr>
              <w:t xml:space="preserve">payment obligations </w:t>
            </w:r>
            <w:r w:rsidR="00DB443A" w:rsidRPr="000A3F4A">
              <w:rPr>
                <w:rFonts w:ascii="Arial" w:eastAsia="Times New Roman" w:hAnsi="Arial" w:cs="Arial"/>
                <w:b/>
                <w:sz w:val="22"/>
                <w:szCs w:val="22"/>
                <w:lang w:val="en-GB" w:eastAsia="en-GB"/>
              </w:rPr>
              <w:t xml:space="preserve">prior </w:t>
            </w:r>
            <w:r w:rsidR="00163ADE" w:rsidRPr="000A3F4A">
              <w:rPr>
                <w:rFonts w:ascii="Arial" w:eastAsia="Times New Roman" w:hAnsi="Arial" w:cs="Arial"/>
                <w:b/>
                <w:sz w:val="22"/>
                <w:szCs w:val="22"/>
                <w:lang w:val="en-GB" w:eastAsia="en-GB"/>
              </w:rPr>
              <w:t>to April 2013</w:t>
            </w:r>
          </w:p>
          <w:p w14:paraId="38B3FDBD" w14:textId="684FBBA8" w:rsidR="001F6CD2" w:rsidRDefault="00E853F0" w:rsidP="00F522AE">
            <w:pPr>
              <w:pStyle w:val="NumberedParagraph"/>
              <w:numPr>
                <w:ilvl w:val="0"/>
                <w:numId w:val="0"/>
              </w:numPr>
              <w:tabs>
                <w:tab w:val="left" w:pos="720"/>
              </w:tabs>
              <w:spacing w:after="0"/>
              <w:jc w:val="left"/>
              <w:rPr>
                <w:rFonts w:ascii="Arial" w:eastAsia="Times New Roman" w:hAnsi="Arial" w:cs="Arial"/>
                <w:sz w:val="22"/>
                <w:szCs w:val="22"/>
                <w:lang w:val="en-GB" w:eastAsia="en-GB"/>
              </w:rPr>
            </w:pPr>
            <w:r>
              <w:rPr>
                <w:rFonts w:ascii="Arial" w:eastAsia="Times New Roman" w:hAnsi="Arial" w:cs="Arial"/>
                <w:sz w:val="22"/>
                <w:szCs w:val="22"/>
                <w:lang w:val="en-GB" w:eastAsia="en-GB"/>
              </w:rPr>
              <w:t>Under this option th</w:t>
            </w:r>
            <w:r w:rsidR="001F6CD2" w:rsidRPr="00EA1675">
              <w:rPr>
                <w:rFonts w:ascii="Arial" w:eastAsia="Times New Roman" w:hAnsi="Arial" w:cs="Arial"/>
                <w:sz w:val="22"/>
                <w:szCs w:val="22"/>
                <w:lang w:val="en-GB" w:eastAsia="en-GB"/>
              </w:rPr>
              <w:t xml:space="preserve">e student loan rules would only be incorporated into </w:t>
            </w:r>
            <w:r w:rsidR="006F3BF1">
              <w:rPr>
                <w:rFonts w:ascii="Arial" w:eastAsia="Times New Roman" w:hAnsi="Arial" w:cs="Arial"/>
                <w:sz w:val="22"/>
                <w:szCs w:val="22"/>
                <w:lang w:val="en-GB" w:eastAsia="en-GB"/>
              </w:rPr>
              <w:t>new systems and processes</w:t>
            </w:r>
            <w:r w:rsidR="001F6CD2" w:rsidRPr="00EA1675">
              <w:rPr>
                <w:rFonts w:ascii="Arial" w:eastAsia="Times New Roman" w:hAnsi="Arial" w:cs="Arial"/>
                <w:sz w:val="22"/>
                <w:szCs w:val="22"/>
                <w:lang w:val="en-GB" w:eastAsia="en-GB"/>
              </w:rPr>
              <w:t xml:space="preserve"> back to 1 April 2013</w:t>
            </w:r>
            <w:r w:rsidR="00586B07">
              <w:rPr>
                <w:rFonts w:ascii="Arial" w:eastAsia="Times New Roman" w:hAnsi="Arial" w:cs="Arial"/>
                <w:sz w:val="22"/>
                <w:szCs w:val="22"/>
                <w:lang w:val="en-GB" w:eastAsia="en-GB"/>
              </w:rPr>
              <w:t xml:space="preserve">. </w:t>
            </w:r>
            <w:r w:rsidR="005B3FA8">
              <w:rPr>
                <w:rFonts w:ascii="Arial" w:eastAsia="Times New Roman" w:hAnsi="Arial" w:cs="Arial"/>
                <w:sz w:val="22"/>
                <w:szCs w:val="22"/>
                <w:lang w:val="en-GB" w:eastAsia="en-GB"/>
              </w:rPr>
              <w:t xml:space="preserve">This date was chosen as it captures almost all changes to student loan repayment obligations and the rules applying </w:t>
            </w:r>
            <w:r w:rsidR="00134741">
              <w:rPr>
                <w:rFonts w:ascii="Arial" w:eastAsia="Times New Roman" w:hAnsi="Arial" w:cs="Arial"/>
                <w:sz w:val="22"/>
                <w:szCs w:val="22"/>
                <w:lang w:val="en-GB" w:eastAsia="en-GB"/>
              </w:rPr>
              <w:t>from April 2013</w:t>
            </w:r>
            <w:r w:rsidR="005B3FA8">
              <w:rPr>
                <w:rFonts w:ascii="Arial" w:eastAsia="Times New Roman" w:hAnsi="Arial" w:cs="Arial"/>
                <w:sz w:val="22"/>
                <w:szCs w:val="22"/>
                <w:lang w:val="en-GB" w:eastAsia="en-GB"/>
              </w:rPr>
              <w:t xml:space="preserve"> are largely the same as apply today</w:t>
            </w:r>
            <w:r w:rsidR="00586B07">
              <w:rPr>
                <w:rFonts w:ascii="Arial" w:eastAsia="Times New Roman" w:hAnsi="Arial" w:cs="Arial"/>
                <w:sz w:val="22"/>
                <w:szCs w:val="22"/>
                <w:lang w:val="en-GB" w:eastAsia="en-GB"/>
              </w:rPr>
              <w:t xml:space="preserve">. </w:t>
            </w:r>
            <w:r w:rsidR="001F6CD2" w:rsidRPr="00EA1675">
              <w:rPr>
                <w:rFonts w:ascii="Arial" w:eastAsia="Times New Roman" w:hAnsi="Arial" w:cs="Arial"/>
                <w:sz w:val="22"/>
                <w:szCs w:val="22"/>
                <w:lang w:val="en-GB" w:eastAsia="en-GB"/>
              </w:rPr>
              <w:t xml:space="preserve">The rules relating to </w:t>
            </w:r>
            <w:r w:rsidR="008D09E1">
              <w:rPr>
                <w:rFonts w:ascii="Arial" w:eastAsia="Times New Roman" w:hAnsi="Arial" w:cs="Arial"/>
                <w:sz w:val="22"/>
                <w:szCs w:val="22"/>
                <w:lang w:val="en-GB" w:eastAsia="en-GB"/>
              </w:rPr>
              <w:t>policy changes</w:t>
            </w:r>
            <w:r w:rsidR="001F6CD2" w:rsidRPr="00EA1675">
              <w:rPr>
                <w:rFonts w:ascii="Arial" w:eastAsia="Times New Roman" w:hAnsi="Arial" w:cs="Arial"/>
                <w:sz w:val="22"/>
                <w:szCs w:val="22"/>
                <w:lang w:val="en-GB" w:eastAsia="en-GB"/>
              </w:rPr>
              <w:t xml:space="preserve"> prior to 2013 will not be built into </w:t>
            </w:r>
            <w:r w:rsidR="006F3BF1">
              <w:rPr>
                <w:rFonts w:ascii="Arial" w:eastAsia="Times New Roman" w:hAnsi="Arial" w:cs="Arial"/>
                <w:sz w:val="22"/>
                <w:szCs w:val="22"/>
                <w:lang w:val="en-GB" w:eastAsia="en-GB"/>
              </w:rPr>
              <w:t>new systems and processes</w:t>
            </w:r>
            <w:r w:rsidR="00586B07">
              <w:rPr>
                <w:rFonts w:ascii="Arial" w:eastAsia="Times New Roman" w:hAnsi="Arial" w:cs="Arial"/>
                <w:sz w:val="22"/>
                <w:szCs w:val="22"/>
                <w:lang w:val="en-GB" w:eastAsia="en-GB"/>
              </w:rPr>
              <w:t xml:space="preserve">. </w:t>
            </w:r>
            <w:r w:rsidR="00E759DF">
              <w:rPr>
                <w:rFonts w:ascii="Arial" w:eastAsia="Times New Roman" w:hAnsi="Arial" w:cs="Arial"/>
                <w:sz w:val="22"/>
                <w:szCs w:val="22"/>
                <w:lang w:val="en-GB" w:eastAsia="en-GB"/>
              </w:rPr>
              <w:t xml:space="preserve">Changes to repayment obligations </w:t>
            </w:r>
            <w:r w:rsidR="001F6CD2" w:rsidRPr="00EA1675">
              <w:rPr>
                <w:rFonts w:ascii="Arial" w:eastAsia="Times New Roman" w:hAnsi="Arial" w:cs="Arial"/>
                <w:sz w:val="22"/>
                <w:szCs w:val="22"/>
                <w:lang w:val="en-GB" w:eastAsia="en-GB"/>
              </w:rPr>
              <w:t>prior to this date would only occur in exceptional circumstances such as cases of tax or student loan fraud</w:t>
            </w:r>
            <w:r w:rsidR="00E759DF">
              <w:rPr>
                <w:rFonts w:ascii="Arial" w:eastAsia="Times New Roman" w:hAnsi="Arial" w:cs="Arial"/>
                <w:sz w:val="22"/>
                <w:szCs w:val="22"/>
                <w:lang w:val="en-GB" w:eastAsia="en-GB"/>
              </w:rPr>
              <w:t xml:space="preserve"> </w:t>
            </w:r>
            <w:r w:rsidR="00CD70A3">
              <w:rPr>
                <w:rFonts w:ascii="Arial" w:eastAsia="Times New Roman" w:hAnsi="Arial" w:cs="Arial"/>
                <w:sz w:val="22"/>
                <w:szCs w:val="22"/>
                <w:lang w:val="en-GB" w:eastAsia="en-GB"/>
              </w:rPr>
              <w:t xml:space="preserve">or </w:t>
            </w:r>
            <w:r w:rsidR="003134F3">
              <w:rPr>
                <w:rFonts w:ascii="Arial" w:eastAsia="Times New Roman" w:hAnsi="Arial" w:cs="Arial"/>
                <w:sz w:val="22"/>
                <w:szCs w:val="22"/>
                <w:lang w:val="en-GB" w:eastAsia="en-GB"/>
              </w:rPr>
              <w:t xml:space="preserve">non-filing of </w:t>
            </w:r>
            <w:r w:rsidR="00CD70A3">
              <w:rPr>
                <w:rFonts w:ascii="Arial" w:eastAsia="Times New Roman" w:hAnsi="Arial" w:cs="Arial"/>
                <w:sz w:val="22"/>
                <w:szCs w:val="22"/>
                <w:lang w:val="en-GB" w:eastAsia="en-GB"/>
              </w:rPr>
              <w:t xml:space="preserve">tax returns </w:t>
            </w:r>
            <w:r w:rsidR="00062DF9">
              <w:rPr>
                <w:rFonts w:ascii="Arial" w:eastAsia="Times New Roman" w:hAnsi="Arial" w:cs="Arial"/>
                <w:sz w:val="22"/>
                <w:szCs w:val="22"/>
                <w:lang w:val="en-GB" w:eastAsia="en-GB"/>
              </w:rPr>
              <w:t>showing a significant liability</w:t>
            </w:r>
            <w:r w:rsidR="00586B07">
              <w:rPr>
                <w:rFonts w:ascii="Arial" w:eastAsia="Times New Roman" w:hAnsi="Arial" w:cs="Arial"/>
                <w:sz w:val="22"/>
                <w:szCs w:val="22"/>
                <w:lang w:val="en-GB" w:eastAsia="en-GB"/>
              </w:rPr>
              <w:t xml:space="preserve">. </w:t>
            </w:r>
            <w:r w:rsidR="00062DF9">
              <w:rPr>
                <w:rFonts w:ascii="Arial" w:eastAsia="Times New Roman" w:hAnsi="Arial" w:cs="Arial"/>
                <w:sz w:val="22"/>
                <w:szCs w:val="22"/>
                <w:lang w:val="en-GB" w:eastAsia="en-GB"/>
              </w:rPr>
              <w:t>T</w:t>
            </w:r>
            <w:r w:rsidR="001F6CD2" w:rsidRPr="00EA1675">
              <w:rPr>
                <w:rFonts w:ascii="Arial" w:eastAsia="Times New Roman" w:hAnsi="Arial" w:cs="Arial"/>
                <w:sz w:val="22"/>
                <w:szCs w:val="22"/>
                <w:lang w:val="en-GB" w:eastAsia="en-GB"/>
              </w:rPr>
              <w:t xml:space="preserve">hese cases would be </w:t>
            </w:r>
            <w:r w:rsidR="00062DF9">
              <w:rPr>
                <w:rFonts w:ascii="Arial" w:eastAsia="Times New Roman" w:hAnsi="Arial" w:cs="Arial"/>
                <w:sz w:val="22"/>
                <w:szCs w:val="22"/>
                <w:lang w:val="en-GB" w:eastAsia="en-GB"/>
              </w:rPr>
              <w:t xml:space="preserve">processed </w:t>
            </w:r>
            <w:r w:rsidR="008C2DCC">
              <w:rPr>
                <w:rFonts w:ascii="Arial" w:eastAsia="Times New Roman" w:hAnsi="Arial" w:cs="Arial"/>
                <w:sz w:val="22"/>
                <w:szCs w:val="22"/>
                <w:lang w:val="en-GB" w:eastAsia="en-GB"/>
              </w:rPr>
              <w:t>manually.</w:t>
            </w:r>
          </w:p>
          <w:p w14:paraId="6C1A028B" w14:textId="77777777" w:rsidR="001F6CD2" w:rsidRPr="00EA1675" w:rsidRDefault="001F6CD2" w:rsidP="00F522AE">
            <w:pPr>
              <w:pStyle w:val="NumberedParagraph"/>
              <w:numPr>
                <w:ilvl w:val="0"/>
                <w:numId w:val="0"/>
              </w:numPr>
              <w:tabs>
                <w:tab w:val="left" w:pos="720"/>
              </w:tabs>
              <w:spacing w:after="0"/>
              <w:jc w:val="left"/>
              <w:rPr>
                <w:rFonts w:ascii="Arial" w:eastAsia="Times New Roman" w:hAnsi="Arial" w:cs="Arial"/>
                <w:sz w:val="22"/>
                <w:szCs w:val="22"/>
                <w:lang w:val="en-GB" w:eastAsia="en-GB"/>
              </w:rPr>
            </w:pPr>
          </w:p>
          <w:p w14:paraId="3CE078E5" w14:textId="04510E94" w:rsidR="001530BD" w:rsidRDefault="00BA4208" w:rsidP="00F522AE">
            <w:pPr>
              <w:pStyle w:val="NumberedParagraph"/>
              <w:numPr>
                <w:ilvl w:val="0"/>
                <w:numId w:val="0"/>
              </w:numPr>
              <w:spacing w:after="0"/>
              <w:jc w:val="left"/>
              <w:rPr>
                <w:rFonts w:ascii="Arial" w:eastAsia="Times New Roman" w:hAnsi="Arial" w:cs="Arial"/>
                <w:sz w:val="22"/>
                <w:szCs w:val="22"/>
                <w:lang w:val="en-GB" w:eastAsia="en-GB"/>
              </w:rPr>
            </w:pPr>
            <w:r w:rsidRPr="00EA1675">
              <w:rPr>
                <w:rFonts w:ascii="Arial" w:eastAsia="Times New Roman" w:hAnsi="Arial" w:cs="Arial"/>
                <w:sz w:val="22"/>
                <w:szCs w:val="22"/>
                <w:lang w:val="en-GB" w:eastAsia="en-GB"/>
              </w:rPr>
              <w:t xml:space="preserve">This option </w:t>
            </w:r>
            <w:r w:rsidR="00051E2D" w:rsidRPr="00EA1675">
              <w:rPr>
                <w:rFonts w:ascii="Arial" w:eastAsia="Times New Roman" w:hAnsi="Arial" w:cs="Arial"/>
                <w:sz w:val="22"/>
                <w:szCs w:val="22"/>
                <w:lang w:val="en-GB" w:eastAsia="en-GB"/>
              </w:rPr>
              <w:t>simplif</w:t>
            </w:r>
            <w:r w:rsidR="00E02D54" w:rsidRPr="00EA1675">
              <w:rPr>
                <w:rFonts w:ascii="Arial" w:eastAsia="Times New Roman" w:hAnsi="Arial" w:cs="Arial"/>
                <w:sz w:val="22"/>
                <w:szCs w:val="22"/>
                <w:lang w:val="en-GB" w:eastAsia="en-GB"/>
              </w:rPr>
              <w:t>ies</w:t>
            </w:r>
            <w:r w:rsidR="00051E2D" w:rsidRPr="00EA1675">
              <w:rPr>
                <w:rFonts w:ascii="Arial" w:eastAsia="Times New Roman" w:hAnsi="Arial" w:cs="Arial"/>
                <w:sz w:val="22"/>
                <w:szCs w:val="22"/>
                <w:lang w:val="en-GB" w:eastAsia="en-GB"/>
              </w:rPr>
              <w:t xml:space="preserve"> the current rules, removes the need to build the rules prior to 1 April 2013 into the </w:t>
            </w:r>
            <w:r w:rsidR="006F3BF1" w:rsidRPr="00EA1675">
              <w:rPr>
                <w:rFonts w:ascii="Arial" w:eastAsia="Times New Roman" w:hAnsi="Arial" w:cs="Arial"/>
                <w:sz w:val="22"/>
                <w:szCs w:val="22"/>
                <w:lang w:val="en-GB" w:eastAsia="en-GB"/>
              </w:rPr>
              <w:t xml:space="preserve">new </w:t>
            </w:r>
            <w:r w:rsidR="006F3BF1">
              <w:rPr>
                <w:rFonts w:ascii="Arial" w:eastAsia="Times New Roman" w:hAnsi="Arial" w:cs="Arial"/>
                <w:sz w:val="22"/>
                <w:szCs w:val="22"/>
                <w:lang w:val="en-GB" w:eastAsia="en-GB"/>
              </w:rPr>
              <w:t>systems and processes</w:t>
            </w:r>
            <w:r w:rsidR="00051E2D" w:rsidRPr="00EA1675">
              <w:rPr>
                <w:rFonts w:ascii="Arial" w:eastAsia="Times New Roman" w:hAnsi="Arial" w:cs="Arial"/>
                <w:sz w:val="22"/>
                <w:szCs w:val="22"/>
                <w:lang w:val="en-GB" w:eastAsia="en-GB"/>
              </w:rPr>
              <w:t>, and reduces both compliance and administrative costs</w:t>
            </w:r>
            <w:r w:rsidR="00586B07">
              <w:rPr>
                <w:rFonts w:ascii="Arial" w:eastAsia="Times New Roman" w:hAnsi="Arial" w:cs="Arial"/>
                <w:sz w:val="22"/>
                <w:szCs w:val="22"/>
                <w:lang w:val="en-GB" w:eastAsia="en-GB"/>
              </w:rPr>
              <w:t xml:space="preserve">. </w:t>
            </w:r>
            <w:r w:rsidRPr="00EA1675">
              <w:rPr>
                <w:rFonts w:ascii="Arial" w:eastAsia="Times New Roman" w:hAnsi="Arial" w:cs="Arial"/>
                <w:sz w:val="22"/>
                <w:szCs w:val="22"/>
                <w:lang w:val="en-GB" w:eastAsia="en-GB"/>
              </w:rPr>
              <w:t xml:space="preserve">However, </w:t>
            </w:r>
            <w:r w:rsidR="00E02D54" w:rsidRPr="00EA1675">
              <w:rPr>
                <w:rFonts w:ascii="Arial" w:eastAsia="Times New Roman" w:hAnsi="Arial" w:cs="Arial"/>
                <w:sz w:val="22"/>
                <w:szCs w:val="22"/>
                <w:lang w:val="en-GB" w:eastAsia="en-GB"/>
              </w:rPr>
              <w:t xml:space="preserve">there are instances where </w:t>
            </w:r>
            <w:r w:rsidRPr="00EA1675">
              <w:rPr>
                <w:rFonts w:ascii="Arial" w:eastAsia="Times New Roman" w:hAnsi="Arial" w:cs="Arial"/>
                <w:sz w:val="22"/>
                <w:szCs w:val="22"/>
                <w:lang w:val="en-GB" w:eastAsia="en-GB"/>
              </w:rPr>
              <w:t>equity between compliant and non-compliant borrowers w</w:t>
            </w:r>
            <w:r w:rsidR="00E02D54" w:rsidRPr="00EA1675">
              <w:rPr>
                <w:rFonts w:ascii="Arial" w:eastAsia="Times New Roman" w:hAnsi="Arial" w:cs="Arial"/>
                <w:sz w:val="22"/>
                <w:szCs w:val="22"/>
                <w:lang w:val="en-GB" w:eastAsia="en-GB"/>
              </w:rPr>
              <w:t>ould not be retained, such as where a borrower who Inland Revenue considers is New Zealand based is found to have gone overseas prior to April 2013</w:t>
            </w:r>
            <w:r w:rsidR="00833BA0">
              <w:rPr>
                <w:rFonts w:ascii="Arial" w:eastAsia="Times New Roman" w:hAnsi="Arial" w:cs="Arial"/>
                <w:sz w:val="22"/>
                <w:szCs w:val="22"/>
                <w:lang w:val="en-GB" w:eastAsia="en-GB"/>
              </w:rPr>
              <w:t xml:space="preserve"> without notifying </w:t>
            </w:r>
            <w:r w:rsidR="005B3FA8">
              <w:rPr>
                <w:rFonts w:ascii="Arial" w:eastAsia="Times New Roman" w:hAnsi="Arial" w:cs="Arial"/>
                <w:sz w:val="22"/>
                <w:szCs w:val="22"/>
                <w:lang w:val="en-GB" w:eastAsia="en-GB"/>
              </w:rPr>
              <w:t xml:space="preserve">Inland Revenue </w:t>
            </w:r>
            <w:r w:rsidR="00833BA0">
              <w:rPr>
                <w:rFonts w:ascii="Arial" w:eastAsia="Times New Roman" w:hAnsi="Arial" w:cs="Arial"/>
                <w:sz w:val="22"/>
                <w:szCs w:val="22"/>
                <w:lang w:val="en-GB" w:eastAsia="en-GB"/>
              </w:rPr>
              <w:t>as required in their loan contract</w:t>
            </w:r>
            <w:r w:rsidR="00586B07">
              <w:rPr>
                <w:rFonts w:ascii="Arial" w:eastAsia="Times New Roman" w:hAnsi="Arial" w:cs="Arial"/>
                <w:sz w:val="22"/>
                <w:szCs w:val="22"/>
                <w:lang w:val="en-GB" w:eastAsia="en-GB"/>
              </w:rPr>
              <w:t xml:space="preserve">. </w:t>
            </w:r>
            <w:r w:rsidR="00E02D54" w:rsidRPr="00EA1675">
              <w:rPr>
                <w:rFonts w:ascii="Arial" w:eastAsia="Times New Roman" w:hAnsi="Arial" w:cs="Arial"/>
                <w:sz w:val="22"/>
                <w:szCs w:val="22"/>
                <w:lang w:val="en-GB" w:eastAsia="en-GB"/>
              </w:rPr>
              <w:t xml:space="preserve">Under this option </w:t>
            </w:r>
            <w:r w:rsidR="00705320">
              <w:rPr>
                <w:rFonts w:ascii="Arial" w:eastAsia="Times New Roman" w:hAnsi="Arial" w:cs="Arial"/>
                <w:sz w:val="22"/>
                <w:szCs w:val="22"/>
                <w:lang w:val="en-GB" w:eastAsia="en-GB"/>
              </w:rPr>
              <w:t xml:space="preserve">the </w:t>
            </w:r>
            <w:r w:rsidR="00E02D54" w:rsidRPr="00EA1675">
              <w:rPr>
                <w:rFonts w:ascii="Arial" w:eastAsia="Times New Roman" w:hAnsi="Arial" w:cs="Arial"/>
                <w:sz w:val="22"/>
                <w:szCs w:val="22"/>
                <w:lang w:val="en-GB" w:eastAsia="en-GB"/>
              </w:rPr>
              <w:t>borrower would only have interest imposed back</w:t>
            </w:r>
            <w:r w:rsidR="00E853F0">
              <w:rPr>
                <w:rFonts w:ascii="Arial" w:eastAsia="Times New Roman" w:hAnsi="Arial" w:cs="Arial"/>
                <w:sz w:val="22"/>
                <w:szCs w:val="22"/>
                <w:lang w:val="en-GB" w:eastAsia="en-GB"/>
              </w:rPr>
              <w:t xml:space="preserve"> to</w:t>
            </w:r>
            <w:r w:rsidR="00E02D54" w:rsidRPr="00EA1675">
              <w:rPr>
                <w:rFonts w:ascii="Arial" w:eastAsia="Times New Roman" w:hAnsi="Arial" w:cs="Arial"/>
                <w:sz w:val="22"/>
                <w:szCs w:val="22"/>
                <w:lang w:val="en-GB" w:eastAsia="en-GB"/>
              </w:rPr>
              <w:t xml:space="preserve"> 1 April 2013 not the </w:t>
            </w:r>
            <w:r w:rsidR="002E4199">
              <w:rPr>
                <w:rFonts w:ascii="Arial" w:eastAsia="Times New Roman" w:hAnsi="Arial" w:cs="Arial"/>
                <w:sz w:val="22"/>
                <w:szCs w:val="22"/>
                <w:lang w:val="en-GB" w:eastAsia="en-GB"/>
              </w:rPr>
              <w:t xml:space="preserve">earlier </w:t>
            </w:r>
            <w:r w:rsidR="00E02D54" w:rsidRPr="00EA1675">
              <w:rPr>
                <w:rFonts w:ascii="Arial" w:eastAsia="Times New Roman" w:hAnsi="Arial" w:cs="Arial"/>
                <w:sz w:val="22"/>
                <w:szCs w:val="22"/>
                <w:lang w:val="en-GB" w:eastAsia="en-GB"/>
              </w:rPr>
              <w:t xml:space="preserve">date </w:t>
            </w:r>
            <w:r w:rsidR="00F522AE">
              <w:rPr>
                <w:rFonts w:ascii="Arial" w:eastAsia="Times New Roman" w:hAnsi="Arial" w:cs="Arial"/>
                <w:sz w:val="22"/>
                <w:szCs w:val="22"/>
                <w:lang w:val="en-GB" w:eastAsia="en-GB"/>
              </w:rPr>
              <w:t xml:space="preserve">when </w:t>
            </w:r>
            <w:r w:rsidR="00E02D54" w:rsidRPr="00EA1675">
              <w:rPr>
                <w:rFonts w:ascii="Arial" w:eastAsia="Times New Roman" w:hAnsi="Arial" w:cs="Arial"/>
                <w:sz w:val="22"/>
                <w:szCs w:val="22"/>
                <w:lang w:val="en-GB" w:eastAsia="en-GB"/>
              </w:rPr>
              <w:t xml:space="preserve">they became </w:t>
            </w:r>
            <w:r w:rsidR="00E853F0">
              <w:rPr>
                <w:rFonts w:ascii="Arial" w:eastAsia="Times New Roman" w:hAnsi="Arial" w:cs="Arial"/>
                <w:sz w:val="22"/>
                <w:szCs w:val="22"/>
                <w:lang w:val="en-GB" w:eastAsia="en-GB"/>
              </w:rPr>
              <w:t>o</w:t>
            </w:r>
            <w:r w:rsidR="00E02D54" w:rsidRPr="00EA1675">
              <w:rPr>
                <w:rFonts w:ascii="Arial" w:eastAsia="Times New Roman" w:hAnsi="Arial" w:cs="Arial"/>
                <w:sz w:val="22"/>
                <w:szCs w:val="22"/>
                <w:lang w:val="en-GB" w:eastAsia="en-GB"/>
              </w:rPr>
              <w:t>verseas based.</w:t>
            </w:r>
          </w:p>
          <w:p w14:paraId="0A8AC056" w14:textId="77777777" w:rsidR="00E853F0" w:rsidRPr="00EA1675" w:rsidRDefault="00E853F0" w:rsidP="00F522AE">
            <w:pPr>
              <w:pStyle w:val="NumberedParagraph"/>
              <w:numPr>
                <w:ilvl w:val="0"/>
                <w:numId w:val="0"/>
              </w:numPr>
              <w:spacing w:after="0"/>
              <w:jc w:val="left"/>
              <w:rPr>
                <w:rFonts w:ascii="Arial" w:eastAsia="Times New Roman" w:hAnsi="Arial" w:cs="Arial"/>
                <w:sz w:val="22"/>
                <w:szCs w:val="22"/>
                <w:lang w:val="en-GB" w:eastAsia="en-GB"/>
              </w:rPr>
            </w:pPr>
          </w:p>
          <w:p w14:paraId="0801603D" w14:textId="5121D732" w:rsidR="00E02D54" w:rsidRPr="00EA1675" w:rsidRDefault="00E02D54" w:rsidP="00F522AE">
            <w:pPr>
              <w:pStyle w:val="NumberedParagraph"/>
              <w:numPr>
                <w:ilvl w:val="0"/>
                <w:numId w:val="0"/>
              </w:numPr>
              <w:spacing w:after="0"/>
              <w:jc w:val="left"/>
              <w:rPr>
                <w:rFonts w:ascii="Arial" w:eastAsia="Times New Roman" w:hAnsi="Arial" w:cs="Arial"/>
                <w:sz w:val="22"/>
                <w:szCs w:val="22"/>
                <w:lang w:val="en-GB" w:eastAsia="en-GB"/>
              </w:rPr>
            </w:pPr>
            <w:r w:rsidRPr="001F4BEF">
              <w:rPr>
                <w:rFonts w:ascii="Arial" w:eastAsia="Times New Roman" w:hAnsi="Arial" w:cs="Arial"/>
                <w:sz w:val="22"/>
                <w:szCs w:val="22"/>
                <w:lang w:val="en-GB" w:eastAsia="en-GB"/>
              </w:rPr>
              <w:t xml:space="preserve">This option would </w:t>
            </w:r>
            <w:r w:rsidR="000A2A20">
              <w:rPr>
                <w:rFonts w:ascii="Arial" w:eastAsia="Times New Roman" w:hAnsi="Arial" w:cs="Arial"/>
                <w:sz w:val="22"/>
                <w:szCs w:val="22"/>
                <w:lang w:val="en-GB" w:eastAsia="en-GB"/>
              </w:rPr>
              <w:t xml:space="preserve">reduce the cost and time to implement policy changes in the future as </w:t>
            </w:r>
            <w:r w:rsidR="00F61970" w:rsidRPr="00F61970">
              <w:rPr>
                <w:rFonts w:ascii="Arial" w:eastAsia="Times New Roman" w:hAnsi="Arial" w:cs="Arial"/>
                <w:sz w:val="22"/>
                <w:szCs w:val="22"/>
                <w:lang w:val="en-GB" w:eastAsia="en-GB"/>
              </w:rPr>
              <w:t xml:space="preserve">changes </w:t>
            </w:r>
            <w:r w:rsidRPr="00F61970">
              <w:rPr>
                <w:rFonts w:ascii="Arial" w:eastAsia="Times New Roman" w:hAnsi="Arial" w:cs="Arial"/>
                <w:sz w:val="22"/>
                <w:szCs w:val="22"/>
                <w:lang w:val="en-GB" w:eastAsia="en-GB"/>
              </w:rPr>
              <w:t>would not have to accommodate rules prior to April 2013</w:t>
            </w:r>
            <w:r w:rsidR="00586B07">
              <w:rPr>
                <w:rFonts w:ascii="Arial" w:eastAsia="Times New Roman" w:hAnsi="Arial" w:cs="Arial"/>
                <w:sz w:val="22"/>
                <w:szCs w:val="22"/>
                <w:lang w:val="en-GB" w:eastAsia="en-GB"/>
              </w:rPr>
              <w:t xml:space="preserve">. </w:t>
            </w:r>
            <w:r w:rsidR="00E853F0" w:rsidRPr="001F4BEF">
              <w:rPr>
                <w:rFonts w:ascii="Arial" w:eastAsia="Times New Roman" w:hAnsi="Arial" w:cs="Arial"/>
                <w:sz w:val="22"/>
                <w:szCs w:val="22"/>
                <w:lang w:val="en-GB" w:eastAsia="en-GB"/>
              </w:rPr>
              <w:t xml:space="preserve">However, it would also </w:t>
            </w:r>
            <w:r w:rsidR="00E853F0" w:rsidRPr="00EA1675">
              <w:rPr>
                <w:rFonts w:ascii="Arial" w:eastAsia="Times New Roman" w:hAnsi="Arial" w:cs="Arial"/>
                <w:sz w:val="22"/>
                <w:szCs w:val="22"/>
                <w:lang w:val="en-GB" w:eastAsia="en-GB"/>
              </w:rPr>
              <w:t>have a material impact on the student loan valuation</w:t>
            </w:r>
            <w:r w:rsidR="00062DF9">
              <w:rPr>
                <w:rFonts w:ascii="Arial" w:eastAsia="Times New Roman" w:hAnsi="Arial" w:cs="Arial"/>
                <w:sz w:val="22"/>
                <w:szCs w:val="22"/>
                <w:lang w:val="en-GB" w:eastAsia="en-GB"/>
              </w:rPr>
              <w:t xml:space="preserve"> and for th</w:t>
            </w:r>
            <w:r w:rsidR="00F522AE">
              <w:rPr>
                <w:rFonts w:ascii="Arial" w:eastAsia="Times New Roman" w:hAnsi="Arial" w:cs="Arial"/>
                <w:sz w:val="22"/>
                <w:szCs w:val="22"/>
                <w:lang w:val="en-GB" w:eastAsia="en-GB"/>
              </w:rPr>
              <w:t>is</w:t>
            </w:r>
            <w:r w:rsidR="00062DF9">
              <w:rPr>
                <w:rFonts w:ascii="Arial" w:eastAsia="Times New Roman" w:hAnsi="Arial" w:cs="Arial"/>
                <w:sz w:val="22"/>
                <w:szCs w:val="22"/>
                <w:lang w:val="en-GB" w:eastAsia="en-GB"/>
              </w:rPr>
              <w:t xml:space="preserve"> reason is not preferred by officials.</w:t>
            </w:r>
          </w:p>
          <w:p w14:paraId="37D5B218" w14:textId="77777777" w:rsidR="00051E2D" w:rsidRPr="00EA1675" w:rsidRDefault="00051E2D" w:rsidP="00F522AE">
            <w:pPr>
              <w:pStyle w:val="NumberedParagraph"/>
              <w:numPr>
                <w:ilvl w:val="0"/>
                <w:numId w:val="0"/>
              </w:numPr>
              <w:tabs>
                <w:tab w:val="left" w:pos="720"/>
              </w:tabs>
              <w:spacing w:after="0"/>
              <w:jc w:val="left"/>
              <w:rPr>
                <w:rFonts w:ascii="Arial" w:eastAsia="Times New Roman" w:hAnsi="Arial" w:cs="Arial"/>
                <w:sz w:val="22"/>
                <w:szCs w:val="22"/>
                <w:lang w:val="en-GB" w:eastAsia="en-GB"/>
              </w:rPr>
            </w:pPr>
          </w:p>
          <w:p w14:paraId="1C1E0376" w14:textId="1A49728E" w:rsidR="00163ADE" w:rsidRPr="000A3F4A" w:rsidRDefault="00D57CA0" w:rsidP="00F522AE">
            <w:pPr>
              <w:pStyle w:val="NumberedParagraph"/>
              <w:numPr>
                <w:ilvl w:val="0"/>
                <w:numId w:val="0"/>
              </w:numPr>
              <w:tabs>
                <w:tab w:val="left" w:pos="720"/>
              </w:tabs>
              <w:spacing w:after="0"/>
              <w:jc w:val="left"/>
              <w:rPr>
                <w:rFonts w:ascii="Arial" w:eastAsia="Times New Roman" w:hAnsi="Arial" w:cs="Arial"/>
                <w:b/>
                <w:sz w:val="22"/>
                <w:szCs w:val="22"/>
                <w:lang w:val="en-GB" w:eastAsia="en-GB"/>
              </w:rPr>
            </w:pPr>
            <w:r w:rsidRPr="000A3F4A">
              <w:rPr>
                <w:rFonts w:ascii="Arial" w:eastAsia="Times New Roman" w:hAnsi="Arial" w:cs="Arial"/>
                <w:b/>
                <w:sz w:val="22"/>
                <w:szCs w:val="22"/>
                <w:lang w:val="en-GB" w:eastAsia="en-GB"/>
              </w:rPr>
              <w:t xml:space="preserve">Option </w:t>
            </w:r>
            <w:r w:rsidR="00586B07">
              <w:rPr>
                <w:rFonts w:ascii="Arial" w:eastAsia="Times New Roman" w:hAnsi="Arial" w:cs="Arial"/>
                <w:b/>
                <w:sz w:val="22"/>
                <w:szCs w:val="22"/>
                <w:lang w:val="en-GB" w:eastAsia="en-GB"/>
              </w:rPr>
              <w:t>T</w:t>
            </w:r>
            <w:r w:rsidR="005738FE">
              <w:rPr>
                <w:rFonts w:ascii="Arial" w:eastAsia="Times New Roman" w:hAnsi="Arial" w:cs="Arial"/>
                <w:b/>
                <w:sz w:val="22"/>
                <w:szCs w:val="22"/>
                <w:lang w:val="en-GB" w:eastAsia="en-GB"/>
              </w:rPr>
              <w:t>hree:</w:t>
            </w:r>
            <w:r w:rsidRPr="000A3F4A">
              <w:rPr>
                <w:rFonts w:ascii="Arial" w:eastAsia="Times New Roman" w:hAnsi="Arial" w:cs="Arial"/>
                <w:b/>
                <w:sz w:val="22"/>
                <w:szCs w:val="22"/>
                <w:lang w:val="en-GB" w:eastAsia="en-GB"/>
              </w:rPr>
              <w:t xml:space="preserve"> </w:t>
            </w:r>
            <w:bookmarkStart w:id="8" w:name="_Hlk534954424"/>
            <w:r w:rsidR="009F7B3A">
              <w:rPr>
                <w:rFonts w:ascii="Arial" w:eastAsia="Times New Roman" w:hAnsi="Arial" w:cs="Arial"/>
                <w:b/>
                <w:sz w:val="22"/>
                <w:szCs w:val="22"/>
                <w:lang w:val="en-GB" w:eastAsia="en-GB"/>
              </w:rPr>
              <w:t xml:space="preserve">Limited changes to loan obligations </w:t>
            </w:r>
            <w:r w:rsidR="004B2E31">
              <w:rPr>
                <w:rFonts w:ascii="Arial" w:eastAsia="Times New Roman" w:hAnsi="Arial" w:cs="Arial"/>
                <w:b/>
                <w:sz w:val="22"/>
                <w:szCs w:val="22"/>
                <w:lang w:val="en-GB" w:eastAsia="en-GB"/>
              </w:rPr>
              <w:t xml:space="preserve">in </w:t>
            </w:r>
            <w:r w:rsidR="009F7B3A">
              <w:rPr>
                <w:rFonts w:ascii="Arial" w:eastAsia="Times New Roman" w:hAnsi="Arial" w:cs="Arial"/>
                <w:b/>
                <w:sz w:val="22"/>
                <w:szCs w:val="22"/>
                <w:lang w:val="en-GB" w:eastAsia="en-GB"/>
              </w:rPr>
              <w:t>relation to the 2013 and prior years</w:t>
            </w:r>
            <w:r w:rsidR="00CA4DDC" w:rsidRPr="000A3F4A">
              <w:rPr>
                <w:rFonts w:ascii="Arial" w:eastAsia="Times New Roman" w:hAnsi="Arial" w:cs="Arial"/>
                <w:b/>
                <w:sz w:val="22"/>
                <w:szCs w:val="22"/>
                <w:lang w:val="en-GB" w:eastAsia="en-GB"/>
              </w:rPr>
              <w:t xml:space="preserve"> </w:t>
            </w:r>
            <w:r w:rsidR="00163ADE" w:rsidRPr="000A3F4A">
              <w:rPr>
                <w:rFonts w:ascii="Arial" w:eastAsia="Times New Roman" w:hAnsi="Arial" w:cs="Arial"/>
                <w:b/>
                <w:sz w:val="22"/>
                <w:szCs w:val="22"/>
                <w:lang w:val="en-GB" w:eastAsia="en-GB"/>
              </w:rPr>
              <w:t>(preferred option)</w:t>
            </w:r>
            <w:bookmarkEnd w:id="8"/>
          </w:p>
          <w:p w14:paraId="467776F2" w14:textId="0EBC7FD0" w:rsidR="008C2DCC" w:rsidRDefault="006A3B7A" w:rsidP="00F522AE">
            <w:pPr>
              <w:tabs>
                <w:tab w:val="left" w:pos="720"/>
              </w:tabs>
              <w:spacing w:after="0" w:line="240" w:lineRule="auto"/>
              <w:rPr>
                <w:rFonts w:cs="Arial"/>
                <w:szCs w:val="22"/>
              </w:rPr>
            </w:pPr>
            <w:r w:rsidRPr="00EA1675">
              <w:rPr>
                <w:rFonts w:cs="Arial"/>
                <w:szCs w:val="22"/>
              </w:rPr>
              <w:t xml:space="preserve">This </w:t>
            </w:r>
            <w:r w:rsidR="00E02D54" w:rsidRPr="00EA1675">
              <w:rPr>
                <w:rFonts w:cs="Arial"/>
                <w:szCs w:val="22"/>
              </w:rPr>
              <w:t xml:space="preserve">option </w:t>
            </w:r>
            <w:r w:rsidR="001F6CD2" w:rsidRPr="00EA1675">
              <w:rPr>
                <w:rFonts w:cs="Arial"/>
                <w:szCs w:val="22"/>
              </w:rPr>
              <w:t>would incorporate</w:t>
            </w:r>
            <w:r w:rsidRPr="00EA1675">
              <w:rPr>
                <w:rFonts w:cs="Arial"/>
                <w:szCs w:val="22"/>
              </w:rPr>
              <w:t xml:space="preserve"> the student loan rules </w:t>
            </w:r>
            <w:r w:rsidR="001F6CD2" w:rsidRPr="00EA1675">
              <w:rPr>
                <w:rFonts w:cs="Arial"/>
                <w:szCs w:val="22"/>
              </w:rPr>
              <w:t xml:space="preserve">into </w:t>
            </w:r>
            <w:r w:rsidR="006F3BF1" w:rsidRPr="00EA1675">
              <w:rPr>
                <w:rFonts w:cs="Arial"/>
                <w:szCs w:val="22"/>
              </w:rPr>
              <w:t xml:space="preserve">new </w:t>
            </w:r>
            <w:r w:rsidR="006F3BF1">
              <w:rPr>
                <w:rFonts w:cs="Arial"/>
                <w:szCs w:val="22"/>
              </w:rPr>
              <w:t>systems and processes</w:t>
            </w:r>
            <w:r w:rsidR="006F3BF1" w:rsidRPr="00EA1675">
              <w:rPr>
                <w:rFonts w:cs="Arial"/>
                <w:szCs w:val="22"/>
              </w:rPr>
              <w:t xml:space="preserve"> </w:t>
            </w:r>
            <w:r w:rsidR="001F6CD2" w:rsidRPr="00EA1675">
              <w:rPr>
                <w:rFonts w:cs="Arial"/>
                <w:szCs w:val="22"/>
              </w:rPr>
              <w:t>back to 1 April 2013</w:t>
            </w:r>
            <w:r w:rsidR="00586B07">
              <w:rPr>
                <w:rFonts w:cs="Arial"/>
                <w:szCs w:val="22"/>
              </w:rPr>
              <w:t xml:space="preserve">. </w:t>
            </w:r>
            <w:r w:rsidR="001F6CD2" w:rsidRPr="00EA1675">
              <w:rPr>
                <w:rFonts w:cs="Arial"/>
                <w:szCs w:val="22"/>
              </w:rPr>
              <w:t>For periods prior to 1 April 2013</w:t>
            </w:r>
            <w:r w:rsidR="00586B07">
              <w:rPr>
                <w:rFonts w:cs="Arial"/>
                <w:szCs w:val="22"/>
              </w:rPr>
              <w:t>,</w:t>
            </w:r>
            <w:r w:rsidR="001F6CD2" w:rsidRPr="00EA1675">
              <w:rPr>
                <w:rFonts w:cs="Arial"/>
                <w:szCs w:val="22"/>
              </w:rPr>
              <w:t xml:space="preserve"> </w:t>
            </w:r>
            <w:r w:rsidR="00E759DF">
              <w:rPr>
                <w:rFonts w:cs="Arial"/>
                <w:szCs w:val="22"/>
              </w:rPr>
              <w:t xml:space="preserve">changes to repayment obligations </w:t>
            </w:r>
            <w:r w:rsidR="001F6CD2" w:rsidRPr="00EA1675">
              <w:rPr>
                <w:rFonts w:cs="Arial"/>
                <w:szCs w:val="22"/>
              </w:rPr>
              <w:t>would only occur where a borrower changes their residence status, for example</w:t>
            </w:r>
            <w:r w:rsidR="009F7B3A">
              <w:rPr>
                <w:rFonts w:cs="Arial"/>
                <w:szCs w:val="22"/>
              </w:rPr>
              <w:t xml:space="preserve">, Inland Revenue receive new information that a borrower had gone overseas, </w:t>
            </w:r>
            <w:r w:rsidRPr="00EA1675">
              <w:rPr>
                <w:rFonts w:cs="Arial"/>
                <w:szCs w:val="22"/>
              </w:rPr>
              <w:t xml:space="preserve">or in cases of </w:t>
            </w:r>
            <w:r w:rsidR="005B6570">
              <w:rPr>
                <w:rFonts w:cs="Arial"/>
                <w:szCs w:val="22"/>
              </w:rPr>
              <w:t>unfiled returns</w:t>
            </w:r>
            <w:r w:rsidR="003134F3">
              <w:rPr>
                <w:rFonts w:cs="Arial"/>
                <w:szCs w:val="22"/>
              </w:rPr>
              <w:t xml:space="preserve"> where it is cost effective to do so,</w:t>
            </w:r>
            <w:r w:rsidR="005B6570">
              <w:rPr>
                <w:rFonts w:cs="Arial"/>
                <w:szCs w:val="22"/>
              </w:rPr>
              <w:t xml:space="preserve"> or </w:t>
            </w:r>
            <w:r w:rsidRPr="00EA1675">
              <w:rPr>
                <w:rFonts w:cs="Arial"/>
                <w:szCs w:val="22"/>
              </w:rPr>
              <w:t>fraud</w:t>
            </w:r>
            <w:r w:rsidR="001F6CD2" w:rsidRPr="00EA1675">
              <w:rPr>
                <w:rFonts w:cs="Arial"/>
                <w:szCs w:val="22"/>
              </w:rPr>
              <w:t>.</w:t>
            </w:r>
          </w:p>
          <w:p w14:paraId="701AFAC7" w14:textId="77777777" w:rsidR="008C2DCC" w:rsidRDefault="008C2DCC" w:rsidP="00F522AE">
            <w:pPr>
              <w:tabs>
                <w:tab w:val="left" w:pos="720"/>
              </w:tabs>
              <w:spacing w:after="0" w:line="240" w:lineRule="auto"/>
              <w:rPr>
                <w:rFonts w:cs="Arial"/>
                <w:szCs w:val="22"/>
              </w:rPr>
            </w:pPr>
          </w:p>
          <w:p w14:paraId="56138E77" w14:textId="7D7E6166" w:rsidR="008C2DCC" w:rsidRPr="008C2DCC" w:rsidRDefault="006A3B7A" w:rsidP="00F522AE">
            <w:pPr>
              <w:tabs>
                <w:tab w:val="left" w:pos="720"/>
              </w:tabs>
              <w:spacing w:after="0" w:line="240" w:lineRule="auto"/>
              <w:rPr>
                <w:rFonts w:cs="Arial"/>
                <w:szCs w:val="22"/>
              </w:rPr>
            </w:pPr>
            <w:r w:rsidRPr="00EA1675">
              <w:rPr>
                <w:rFonts w:cs="Arial"/>
                <w:szCs w:val="22"/>
              </w:rPr>
              <w:t>Where a borrower</w:t>
            </w:r>
            <w:r w:rsidR="00D57CA0" w:rsidRPr="00EA1675">
              <w:rPr>
                <w:rFonts w:cs="Arial"/>
                <w:szCs w:val="22"/>
              </w:rPr>
              <w:t>’</w:t>
            </w:r>
            <w:r w:rsidRPr="00EA1675">
              <w:rPr>
                <w:rFonts w:cs="Arial"/>
                <w:szCs w:val="22"/>
              </w:rPr>
              <w:t>s residency status changes,</w:t>
            </w:r>
            <w:r w:rsidR="001F6CD2" w:rsidRPr="00EA1675">
              <w:rPr>
                <w:rFonts w:cs="Arial"/>
                <w:szCs w:val="22"/>
              </w:rPr>
              <w:t xml:space="preserve"> interest would be calculated on their loan balance from the date the borrower’s status changed</w:t>
            </w:r>
            <w:r w:rsidR="00E759DF">
              <w:rPr>
                <w:rFonts w:cs="Arial"/>
                <w:szCs w:val="22"/>
              </w:rPr>
              <w:t xml:space="preserve"> at the </w:t>
            </w:r>
            <w:r w:rsidR="00176DEF">
              <w:rPr>
                <w:rFonts w:cs="Arial"/>
                <w:szCs w:val="22"/>
              </w:rPr>
              <w:t>interest rates that applied in the relevant years</w:t>
            </w:r>
            <w:r w:rsidR="00586B07">
              <w:rPr>
                <w:rFonts w:cs="Arial"/>
                <w:szCs w:val="22"/>
              </w:rPr>
              <w:t xml:space="preserve">. </w:t>
            </w:r>
            <w:r w:rsidR="008C2DCC" w:rsidRPr="008C2DCC">
              <w:rPr>
                <w:rFonts w:cs="Arial"/>
                <w:szCs w:val="22"/>
              </w:rPr>
              <w:t xml:space="preserve">Changes in the borrower’s repayment obligation for the period up to 1 </w:t>
            </w:r>
            <w:r w:rsidR="008C2DCC" w:rsidRPr="008C2DCC">
              <w:rPr>
                <w:rFonts w:cs="Arial"/>
                <w:szCs w:val="22"/>
              </w:rPr>
              <w:lastRenderedPageBreak/>
              <w:t>April 2013 would be ignored. However, changes to obligations from 1 April 2013 onwards would be assessed as they are now.</w:t>
            </w:r>
          </w:p>
          <w:p w14:paraId="474D53E8" w14:textId="77777777" w:rsidR="008C2DCC" w:rsidRDefault="008C2DCC" w:rsidP="00F522AE">
            <w:pPr>
              <w:pStyle w:val="ListParagraph"/>
              <w:spacing w:line="240" w:lineRule="auto"/>
              <w:ind w:left="0"/>
              <w:rPr>
                <w:szCs w:val="22"/>
              </w:rPr>
            </w:pPr>
          </w:p>
          <w:p w14:paraId="7C98BB9A" w14:textId="746B8D72" w:rsidR="00C22778" w:rsidRDefault="004B2E31" w:rsidP="00F522AE">
            <w:pPr>
              <w:pStyle w:val="ListParagraph"/>
              <w:spacing w:line="240" w:lineRule="auto"/>
              <w:ind w:left="0"/>
            </w:pPr>
            <w:r>
              <w:rPr>
                <w:szCs w:val="22"/>
              </w:rPr>
              <w:t>In cases of fraud, or unfiled tax returns where the obligation is material,</w:t>
            </w:r>
            <w:r w:rsidR="00C22778">
              <w:rPr>
                <w:szCs w:val="22"/>
              </w:rPr>
              <w:t xml:space="preserve"> a simplified calculation </w:t>
            </w:r>
            <w:r w:rsidR="00C22778">
              <w:t>would be used by applying the</w:t>
            </w:r>
            <w:r w:rsidR="00C22778" w:rsidRPr="008A68E2">
              <w:t xml:space="preserve"> student loan repayment rate to the amended income figure. </w:t>
            </w:r>
            <w:r w:rsidR="00C22778">
              <w:t>A one-off penalty may also apply to penalise the non-compliant action</w:t>
            </w:r>
            <w:r w:rsidR="00586B07">
              <w:t xml:space="preserve">. </w:t>
            </w:r>
            <w:r w:rsidR="00C22778">
              <w:t>Late payment interest will only be imposed on adjusted repayment obligations from 1 April 2013 onwards.</w:t>
            </w:r>
          </w:p>
          <w:p w14:paraId="0A61F85D" w14:textId="77777777" w:rsidR="00C22778" w:rsidRPr="00C22778" w:rsidRDefault="00C22778" w:rsidP="00F522AE">
            <w:pPr>
              <w:pStyle w:val="NumberedParagraph"/>
              <w:numPr>
                <w:ilvl w:val="0"/>
                <w:numId w:val="0"/>
              </w:numPr>
              <w:spacing w:after="0"/>
              <w:jc w:val="left"/>
              <w:rPr>
                <w:rFonts w:ascii="Arial" w:eastAsia="Times New Roman" w:hAnsi="Arial" w:cs="Arial"/>
                <w:sz w:val="22"/>
                <w:szCs w:val="20"/>
                <w:lang w:val="en-GB" w:eastAsia="en-GB"/>
              </w:rPr>
            </w:pPr>
          </w:p>
          <w:p w14:paraId="6B81AD2C" w14:textId="77777777" w:rsidR="008C2DCC" w:rsidRPr="00C22778" w:rsidRDefault="008C2DCC" w:rsidP="00F522AE">
            <w:pPr>
              <w:pStyle w:val="NumberedParagraph"/>
              <w:numPr>
                <w:ilvl w:val="0"/>
                <w:numId w:val="0"/>
              </w:numPr>
              <w:spacing w:after="0"/>
              <w:jc w:val="left"/>
              <w:rPr>
                <w:rFonts w:ascii="Arial" w:eastAsia="Times New Roman" w:hAnsi="Arial" w:cs="Arial"/>
                <w:sz w:val="22"/>
                <w:szCs w:val="20"/>
                <w:lang w:val="en-GB" w:eastAsia="en-GB"/>
              </w:rPr>
            </w:pPr>
            <w:r w:rsidRPr="00C22778">
              <w:rPr>
                <w:rFonts w:ascii="Arial" w:eastAsia="Times New Roman" w:hAnsi="Arial" w:cs="Arial"/>
                <w:sz w:val="22"/>
                <w:szCs w:val="20"/>
                <w:lang w:val="en-GB" w:eastAsia="en-GB"/>
              </w:rPr>
              <w:t>Imposing late payment interest on repayment obligations for the period 1992 to 2013 can disproportionately increase the debt owed to Inland Revenue to the point where the borrower cannot repay the debt and disengages with the Student Loan Scheme.</w:t>
            </w:r>
          </w:p>
          <w:p w14:paraId="68DD6353" w14:textId="77777777" w:rsidR="008C2DCC" w:rsidRPr="008262FD" w:rsidRDefault="008C2DCC" w:rsidP="00F522AE">
            <w:pPr>
              <w:pStyle w:val="ListParagraph"/>
              <w:spacing w:line="240" w:lineRule="auto"/>
              <w:ind w:left="0"/>
              <w:rPr>
                <w:szCs w:val="22"/>
              </w:rPr>
            </w:pPr>
          </w:p>
          <w:p w14:paraId="10384830" w14:textId="5D1E574E" w:rsidR="008262FD" w:rsidRDefault="008262FD" w:rsidP="00F522AE">
            <w:pPr>
              <w:pStyle w:val="ListParagraph"/>
              <w:spacing w:line="240" w:lineRule="auto"/>
              <w:ind w:left="0"/>
            </w:pPr>
            <w:r w:rsidRPr="002B663E">
              <w:t xml:space="preserve">Adjustments to residency status and the associated interest impact </w:t>
            </w:r>
            <w:r>
              <w:t xml:space="preserve">together with </w:t>
            </w:r>
            <w:r w:rsidR="005B6570">
              <w:t xml:space="preserve">situations where </w:t>
            </w:r>
            <w:r>
              <w:t xml:space="preserve">under-declared income </w:t>
            </w:r>
            <w:r w:rsidR="005B6570">
              <w:t xml:space="preserve">or fraud is involved </w:t>
            </w:r>
            <w:r w:rsidRPr="002B663E">
              <w:t>ha</w:t>
            </w:r>
            <w:r>
              <w:t>ve</w:t>
            </w:r>
            <w:r w:rsidRPr="002B663E">
              <w:t xml:space="preserve"> the greatest impact on the loan balance and time to repay the loan</w:t>
            </w:r>
            <w:r w:rsidR="00586B07">
              <w:t xml:space="preserve">. </w:t>
            </w:r>
            <w:r>
              <w:t xml:space="preserve">This option incorporates these </w:t>
            </w:r>
            <w:r w:rsidRPr="002B663E">
              <w:t>situation</w:t>
            </w:r>
            <w:r>
              <w:t>s.</w:t>
            </w:r>
          </w:p>
          <w:p w14:paraId="5A361587" w14:textId="77777777" w:rsidR="008262FD" w:rsidRPr="00EA1675" w:rsidRDefault="008262FD" w:rsidP="00F522AE">
            <w:pPr>
              <w:pStyle w:val="ListParagraph"/>
              <w:spacing w:line="240" w:lineRule="auto"/>
              <w:ind w:left="0"/>
              <w:rPr>
                <w:szCs w:val="22"/>
              </w:rPr>
            </w:pPr>
          </w:p>
          <w:p w14:paraId="67E4CFCE" w14:textId="77777777" w:rsidR="00C22778" w:rsidRDefault="006A3B7A" w:rsidP="00F522AE">
            <w:pPr>
              <w:pStyle w:val="NumberedParagraph"/>
              <w:numPr>
                <w:ilvl w:val="0"/>
                <w:numId w:val="0"/>
              </w:numPr>
              <w:spacing w:after="0"/>
              <w:jc w:val="left"/>
              <w:rPr>
                <w:rFonts w:ascii="Arial" w:eastAsia="Times New Roman" w:hAnsi="Arial" w:cs="Arial"/>
                <w:sz w:val="22"/>
                <w:szCs w:val="22"/>
                <w:lang w:val="en-GB" w:eastAsia="en-GB"/>
              </w:rPr>
            </w:pPr>
            <w:r w:rsidRPr="00EA1675">
              <w:rPr>
                <w:rFonts w:ascii="Arial" w:eastAsia="Times New Roman" w:hAnsi="Arial" w:cs="Arial"/>
                <w:sz w:val="22"/>
                <w:szCs w:val="22"/>
                <w:lang w:val="en-GB" w:eastAsia="en-GB"/>
              </w:rPr>
              <w:t xml:space="preserve">This option </w:t>
            </w:r>
            <w:r w:rsidR="00051E2D" w:rsidRPr="00EA1675">
              <w:rPr>
                <w:rFonts w:ascii="Arial" w:eastAsia="Times New Roman" w:hAnsi="Arial" w:cs="Arial"/>
                <w:sz w:val="22"/>
                <w:szCs w:val="22"/>
                <w:lang w:val="en-GB" w:eastAsia="en-GB"/>
              </w:rPr>
              <w:t xml:space="preserve">simplifies the calculation of </w:t>
            </w:r>
            <w:r w:rsidR="00E759DF">
              <w:rPr>
                <w:rFonts w:ascii="Arial" w:eastAsia="Times New Roman" w:hAnsi="Arial" w:cs="Arial"/>
                <w:sz w:val="22"/>
                <w:szCs w:val="22"/>
                <w:lang w:val="en-GB" w:eastAsia="en-GB"/>
              </w:rPr>
              <w:t xml:space="preserve">repayment obligations prior to April </w:t>
            </w:r>
            <w:r w:rsidR="00051E2D" w:rsidRPr="00EA1675">
              <w:rPr>
                <w:rFonts w:ascii="Arial" w:eastAsia="Times New Roman" w:hAnsi="Arial" w:cs="Arial"/>
                <w:sz w:val="22"/>
                <w:szCs w:val="22"/>
                <w:lang w:val="en-GB" w:eastAsia="en-GB"/>
              </w:rPr>
              <w:t>2013, removes the need to build the</w:t>
            </w:r>
            <w:r w:rsidR="00E759DF">
              <w:rPr>
                <w:rFonts w:ascii="Arial" w:eastAsia="Times New Roman" w:hAnsi="Arial" w:cs="Arial"/>
                <w:sz w:val="22"/>
                <w:szCs w:val="22"/>
                <w:lang w:val="en-GB" w:eastAsia="en-GB"/>
              </w:rPr>
              <w:t>se</w:t>
            </w:r>
            <w:r w:rsidR="00051E2D" w:rsidRPr="00EA1675">
              <w:rPr>
                <w:rFonts w:ascii="Arial" w:eastAsia="Times New Roman" w:hAnsi="Arial" w:cs="Arial"/>
                <w:sz w:val="22"/>
                <w:szCs w:val="22"/>
                <w:lang w:val="en-GB" w:eastAsia="en-GB"/>
              </w:rPr>
              <w:t xml:space="preserve"> rules into the new </w:t>
            </w:r>
            <w:r w:rsidR="00E759DF">
              <w:rPr>
                <w:rFonts w:ascii="Arial" w:eastAsia="Times New Roman" w:hAnsi="Arial" w:cs="Arial"/>
                <w:sz w:val="22"/>
                <w:szCs w:val="22"/>
                <w:lang w:val="en-GB" w:eastAsia="en-GB"/>
              </w:rPr>
              <w:t>systems and processes</w:t>
            </w:r>
            <w:r w:rsidR="00051E2D" w:rsidRPr="00EA1675">
              <w:rPr>
                <w:rFonts w:ascii="Arial" w:eastAsia="Times New Roman" w:hAnsi="Arial" w:cs="Arial"/>
                <w:sz w:val="22"/>
                <w:szCs w:val="22"/>
                <w:lang w:val="en-GB" w:eastAsia="en-GB"/>
              </w:rPr>
              <w:t>, reduces</w:t>
            </w:r>
            <w:r w:rsidRPr="00EA1675">
              <w:rPr>
                <w:rFonts w:ascii="Arial" w:eastAsia="Times New Roman" w:hAnsi="Arial" w:cs="Arial"/>
                <w:sz w:val="22"/>
                <w:szCs w:val="22"/>
                <w:lang w:val="en-GB" w:eastAsia="en-GB"/>
              </w:rPr>
              <w:t xml:space="preserve"> </w:t>
            </w:r>
            <w:r w:rsidR="00F94B71">
              <w:rPr>
                <w:rFonts w:ascii="Arial" w:eastAsia="Times New Roman" w:hAnsi="Arial" w:cs="Arial"/>
                <w:sz w:val="22"/>
                <w:szCs w:val="22"/>
                <w:lang w:val="en-GB" w:eastAsia="en-GB"/>
              </w:rPr>
              <w:t>t</w:t>
            </w:r>
            <w:r w:rsidRPr="00EA1675">
              <w:rPr>
                <w:rFonts w:ascii="Arial" w:eastAsia="Times New Roman" w:hAnsi="Arial" w:cs="Arial"/>
                <w:sz w:val="22"/>
                <w:szCs w:val="22"/>
                <w:lang w:val="en-GB" w:eastAsia="en-GB"/>
              </w:rPr>
              <w:t>he complexity of the scheme and therefore reduces</w:t>
            </w:r>
            <w:r w:rsidR="00051E2D" w:rsidRPr="00EA1675">
              <w:rPr>
                <w:rFonts w:ascii="Arial" w:eastAsia="Times New Roman" w:hAnsi="Arial" w:cs="Arial"/>
                <w:sz w:val="22"/>
                <w:szCs w:val="22"/>
                <w:lang w:val="en-GB" w:eastAsia="en-GB"/>
              </w:rPr>
              <w:t xml:space="preserve"> both compliance costs and administrative costs</w:t>
            </w:r>
            <w:r w:rsidRPr="00EA1675">
              <w:rPr>
                <w:rFonts w:ascii="Arial" w:eastAsia="Times New Roman" w:hAnsi="Arial" w:cs="Arial"/>
                <w:sz w:val="22"/>
                <w:szCs w:val="22"/>
                <w:lang w:val="en-GB" w:eastAsia="en-GB"/>
              </w:rPr>
              <w:t>.</w:t>
            </w:r>
          </w:p>
          <w:p w14:paraId="50050407" w14:textId="77777777" w:rsidR="00C22778" w:rsidRDefault="00C22778" w:rsidP="00F522AE">
            <w:pPr>
              <w:pStyle w:val="NumberedParagraph"/>
              <w:numPr>
                <w:ilvl w:val="0"/>
                <w:numId w:val="0"/>
              </w:numPr>
              <w:spacing w:after="0"/>
              <w:jc w:val="left"/>
              <w:rPr>
                <w:rFonts w:ascii="Arial" w:eastAsia="Times New Roman" w:hAnsi="Arial" w:cs="Arial"/>
                <w:sz w:val="22"/>
                <w:szCs w:val="22"/>
                <w:lang w:val="en-GB" w:eastAsia="en-GB"/>
              </w:rPr>
            </w:pPr>
          </w:p>
          <w:p w14:paraId="6B78537C" w14:textId="0877C81F" w:rsidR="00B654A0" w:rsidRDefault="00C22778" w:rsidP="00F522AE">
            <w:pPr>
              <w:pStyle w:val="NumberedParagraph"/>
              <w:numPr>
                <w:ilvl w:val="0"/>
                <w:numId w:val="0"/>
              </w:numPr>
              <w:spacing w:after="0"/>
              <w:jc w:val="left"/>
              <w:rPr>
                <w:rFonts w:ascii="Arial" w:eastAsia="Times New Roman" w:hAnsi="Arial" w:cs="Arial"/>
                <w:sz w:val="22"/>
                <w:szCs w:val="22"/>
                <w:lang w:val="en-GB" w:eastAsia="en-GB"/>
              </w:rPr>
            </w:pPr>
            <w:r w:rsidRPr="00B654A0">
              <w:rPr>
                <w:rFonts w:ascii="Arial" w:eastAsia="Times New Roman" w:hAnsi="Arial" w:cs="Arial"/>
                <w:sz w:val="22"/>
                <w:szCs w:val="22"/>
                <w:lang w:val="en-GB" w:eastAsia="en-GB"/>
              </w:rPr>
              <w:t>As this option takes account of residency changes and applies the historical loan interest rates, equity between compliant and non-compliant overseas-based borrowers would be preserved</w:t>
            </w:r>
            <w:r w:rsidR="00586B07">
              <w:rPr>
                <w:rFonts w:ascii="Arial" w:eastAsia="Times New Roman" w:hAnsi="Arial" w:cs="Arial"/>
                <w:sz w:val="22"/>
                <w:szCs w:val="22"/>
                <w:lang w:val="en-GB" w:eastAsia="en-GB"/>
              </w:rPr>
              <w:t xml:space="preserve">. </w:t>
            </w:r>
            <w:r w:rsidRPr="00B654A0">
              <w:rPr>
                <w:rFonts w:ascii="Arial" w:eastAsia="Times New Roman" w:hAnsi="Arial" w:cs="Arial"/>
                <w:sz w:val="22"/>
                <w:szCs w:val="22"/>
                <w:lang w:val="en-GB" w:eastAsia="en-GB"/>
              </w:rPr>
              <w:t>Also, the inclusion of borrowers who fail to file returns of a material value or commit fraud also retains equity between compliant and non-compliant borrowers.</w:t>
            </w:r>
          </w:p>
          <w:p w14:paraId="0227BF2D" w14:textId="77777777" w:rsidR="00B654A0" w:rsidRDefault="00B654A0" w:rsidP="00F522AE">
            <w:pPr>
              <w:pStyle w:val="NumberedParagraph"/>
              <w:numPr>
                <w:ilvl w:val="0"/>
                <w:numId w:val="0"/>
              </w:numPr>
              <w:spacing w:after="0"/>
              <w:jc w:val="left"/>
              <w:rPr>
                <w:rFonts w:ascii="Arial" w:eastAsia="Times New Roman" w:hAnsi="Arial" w:cs="Arial"/>
                <w:sz w:val="22"/>
                <w:szCs w:val="22"/>
                <w:lang w:val="en-GB" w:eastAsia="en-GB"/>
              </w:rPr>
            </w:pPr>
          </w:p>
          <w:p w14:paraId="49DDD007" w14:textId="4EA7B670" w:rsidR="006A3B7A" w:rsidRDefault="00B654A0" w:rsidP="00F522AE">
            <w:pPr>
              <w:pStyle w:val="NumberedParagraph"/>
              <w:numPr>
                <w:ilvl w:val="0"/>
                <w:numId w:val="0"/>
              </w:numPr>
              <w:spacing w:after="0"/>
              <w:jc w:val="left"/>
              <w:rPr>
                <w:rFonts w:ascii="Arial" w:hAnsi="Arial" w:cs="Arial"/>
                <w:sz w:val="22"/>
                <w:szCs w:val="22"/>
              </w:rPr>
            </w:pPr>
            <w:r>
              <w:rPr>
                <w:rFonts w:ascii="Arial" w:hAnsi="Arial" w:cs="Arial"/>
                <w:sz w:val="22"/>
                <w:szCs w:val="22"/>
              </w:rPr>
              <w:t>T</w:t>
            </w:r>
            <w:r w:rsidR="006A3B7A" w:rsidRPr="00EA1675">
              <w:rPr>
                <w:rFonts w:ascii="Arial" w:hAnsi="Arial" w:cs="Arial"/>
                <w:sz w:val="22"/>
                <w:szCs w:val="22"/>
              </w:rPr>
              <w:t>his option has no material impac</w:t>
            </w:r>
            <w:r>
              <w:rPr>
                <w:rFonts w:ascii="Arial" w:hAnsi="Arial" w:cs="Arial"/>
                <w:sz w:val="22"/>
                <w:szCs w:val="22"/>
              </w:rPr>
              <w:t xml:space="preserve">t on the student loan </w:t>
            </w:r>
            <w:r w:rsidR="00912CA3">
              <w:rPr>
                <w:rFonts w:ascii="Arial" w:hAnsi="Arial" w:cs="Arial"/>
                <w:sz w:val="22"/>
                <w:szCs w:val="22"/>
              </w:rPr>
              <w:t>valuation and</w:t>
            </w:r>
            <w:r>
              <w:rPr>
                <w:rFonts w:ascii="Arial" w:hAnsi="Arial" w:cs="Arial"/>
                <w:sz w:val="22"/>
                <w:szCs w:val="22"/>
              </w:rPr>
              <w:t xml:space="preserve"> </w:t>
            </w:r>
            <w:r w:rsidR="000A2A20">
              <w:rPr>
                <w:rFonts w:ascii="Arial" w:hAnsi="Arial" w:cs="Arial"/>
                <w:sz w:val="22"/>
                <w:szCs w:val="22"/>
              </w:rPr>
              <w:t>reduces the time and cost of making</w:t>
            </w:r>
            <w:r w:rsidR="00F61970" w:rsidRPr="001F4BEF">
              <w:rPr>
                <w:rFonts w:ascii="Arial" w:hAnsi="Arial" w:cs="Arial"/>
                <w:sz w:val="22"/>
                <w:szCs w:val="22"/>
              </w:rPr>
              <w:t xml:space="preserve"> policy changes in the future</w:t>
            </w:r>
            <w:r w:rsidR="00F61970">
              <w:rPr>
                <w:rFonts w:ascii="Arial" w:hAnsi="Arial" w:cs="Arial"/>
                <w:sz w:val="22"/>
                <w:szCs w:val="22"/>
              </w:rPr>
              <w:t xml:space="preserve"> as</w:t>
            </w:r>
            <w:r w:rsidR="006A3B7A" w:rsidRPr="00EA1675">
              <w:rPr>
                <w:rFonts w:ascii="Arial" w:hAnsi="Arial" w:cs="Arial"/>
                <w:sz w:val="22"/>
                <w:szCs w:val="22"/>
              </w:rPr>
              <w:t xml:space="preserve"> changes would not have to accommodate rules prior to April 2013</w:t>
            </w:r>
            <w:r w:rsidR="00586B07">
              <w:rPr>
                <w:rFonts w:ascii="Arial" w:hAnsi="Arial" w:cs="Arial"/>
                <w:sz w:val="22"/>
                <w:szCs w:val="22"/>
              </w:rPr>
              <w:t xml:space="preserve">. </w:t>
            </w:r>
            <w:r>
              <w:rPr>
                <w:rFonts w:ascii="Arial" w:hAnsi="Arial" w:cs="Arial"/>
                <w:sz w:val="22"/>
                <w:szCs w:val="22"/>
              </w:rPr>
              <w:t>This option is preferred by officials.</w:t>
            </w:r>
          </w:p>
          <w:p w14:paraId="5D827C9A" w14:textId="77777777" w:rsidR="00B654A0" w:rsidRDefault="00B654A0" w:rsidP="00F522AE">
            <w:pPr>
              <w:pStyle w:val="NumberedParagraph"/>
              <w:numPr>
                <w:ilvl w:val="0"/>
                <w:numId w:val="0"/>
              </w:numPr>
              <w:spacing w:after="0"/>
              <w:jc w:val="left"/>
              <w:rPr>
                <w:rFonts w:ascii="Arial" w:hAnsi="Arial" w:cs="Arial"/>
                <w:sz w:val="22"/>
                <w:szCs w:val="22"/>
              </w:rPr>
            </w:pPr>
          </w:p>
          <w:p w14:paraId="71F30B8A" w14:textId="77777777" w:rsidR="00834D20" w:rsidRDefault="00586B07" w:rsidP="00F522AE">
            <w:pPr>
              <w:pStyle w:val="NumberedParagraph"/>
              <w:numPr>
                <w:ilvl w:val="0"/>
                <w:numId w:val="0"/>
              </w:numPr>
              <w:spacing w:after="0"/>
              <w:jc w:val="left"/>
              <w:rPr>
                <w:rFonts w:ascii="Arial" w:hAnsi="Arial" w:cs="Arial"/>
                <w:sz w:val="22"/>
                <w:szCs w:val="22"/>
              </w:rPr>
            </w:pPr>
            <w:r>
              <w:rPr>
                <w:rFonts w:ascii="Arial" w:eastAsia="Times New Roman" w:hAnsi="Arial" w:cs="Arial"/>
                <w:b/>
                <w:sz w:val="22"/>
                <w:szCs w:val="22"/>
                <w:lang w:val="en-GB" w:eastAsia="en-GB"/>
              </w:rPr>
              <w:t>How each option would work</w:t>
            </w:r>
          </w:p>
          <w:p w14:paraId="140EA70B" w14:textId="77777777" w:rsidR="00586B07" w:rsidRDefault="00586B07" w:rsidP="00F522AE">
            <w:pPr>
              <w:pStyle w:val="NumberedParagraph"/>
              <w:numPr>
                <w:ilvl w:val="0"/>
                <w:numId w:val="0"/>
              </w:numPr>
              <w:spacing w:after="0"/>
              <w:jc w:val="left"/>
              <w:rPr>
                <w:rFonts w:ascii="Arial" w:hAnsi="Arial" w:cs="Arial"/>
                <w:sz w:val="22"/>
                <w:szCs w:val="22"/>
              </w:rPr>
            </w:pPr>
          </w:p>
          <w:p w14:paraId="112B18DB" w14:textId="77777777" w:rsidR="00834D20" w:rsidRDefault="00834D20" w:rsidP="00F522AE">
            <w:pPr>
              <w:pStyle w:val="NumberedParagraph"/>
              <w:numPr>
                <w:ilvl w:val="0"/>
                <w:numId w:val="0"/>
              </w:numPr>
              <w:spacing w:after="0"/>
              <w:jc w:val="left"/>
              <w:rPr>
                <w:rFonts w:ascii="Arial" w:hAnsi="Arial" w:cs="Arial"/>
                <w:sz w:val="22"/>
                <w:szCs w:val="22"/>
              </w:rPr>
            </w:pPr>
            <w:r w:rsidRPr="00834D20">
              <w:rPr>
                <w:rFonts w:ascii="Arial" w:hAnsi="Arial" w:cs="Arial"/>
                <w:sz w:val="22"/>
                <w:szCs w:val="22"/>
              </w:rPr>
              <w:t>The following examples illustrate the differences in treatment of a borrower under</w:t>
            </w:r>
            <w:r w:rsidR="00980FB2">
              <w:rPr>
                <w:rFonts w:ascii="Arial" w:hAnsi="Arial" w:cs="Arial"/>
                <w:sz w:val="22"/>
                <w:szCs w:val="22"/>
              </w:rPr>
              <w:t xml:space="preserve"> each </w:t>
            </w:r>
            <w:r w:rsidRPr="00834D20">
              <w:rPr>
                <w:rFonts w:ascii="Arial" w:hAnsi="Arial" w:cs="Arial"/>
                <w:sz w:val="22"/>
                <w:szCs w:val="22"/>
              </w:rPr>
              <w:t>option.</w:t>
            </w:r>
          </w:p>
          <w:p w14:paraId="70FFE723" w14:textId="77777777" w:rsidR="007B72D1" w:rsidRPr="00834D20" w:rsidRDefault="007B72D1" w:rsidP="00F522AE">
            <w:pPr>
              <w:pStyle w:val="NumberedParagraph"/>
              <w:numPr>
                <w:ilvl w:val="0"/>
                <w:numId w:val="0"/>
              </w:numPr>
              <w:spacing w:after="0"/>
              <w:jc w:val="left"/>
              <w:rPr>
                <w:rFonts w:ascii="Arial" w:hAnsi="Arial" w:cs="Arial"/>
                <w:sz w:val="22"/>
                <w:szCs w:val="22"/>
              </w:rPr>
            </w:pPr>
          </w:p>
          <w:p w14:paraId="21C478DA" w14:textId="77777777" w:rsidR="00834D20" w:rsidRPr="00834D20" w:rsidRDefault="00834D20" w:rsidP="00F522AE">
            <w:pPr>
              <w:pStyle w:val="ListParagraph"/>
              <w:spacing w:line="240" w:lineRule="auto"/>
              <w:ind w:left="0"/>
              <w:rPr>
                <w:szCs w:val="22"/>
                <w:u w:val="single"/>
              </w:rPr>
            </w:pPr>
            <w:r w:rsidRPr="00834D20">
              <w:rPr>
                <w:szCs w:val="22"/>
                <w:u w:val="single"/>
              </w:rPr>
              <w:t>Example 1</w:t>
            </w:r>
          </w:p>
          <w:p w14:paraId="095D0B94" w14:textId="77777777" w:rsidR="00834D20" w:rsidRDefault="00834D20" w:rsidP="00F522AE">
            <w:pPr>
              <w:pStyle w:val="ListParagraph"/>
              <w:spacing w:line="240" w:lineRule="auto"/>
              <w:ind w:left="0"/>
              <w:rPr>
                <w:szCs w:val="22"/>
              </w:rPr>
            </w:pPr>
          </w:p>
          <w:p w14:paraId="5191F213" w14:textId="77777777" w:rsidR="00337DB5" w:rsidRPr="00337DB5" w:rsidRDefault="00337DB5" w:rsidP="00F522AE">
            <w:pPr>
              <w:pStyle w:val="ListParagraph"/>
              <w:spacing w:line="240" w:lineRule="auto"/>
              <w:ind w:left="0"/>
              <w:rPr>
                <w:szCs w:val="22"/>
              </w:rPr>
            </w:pPr>
            <w:r w:rsidRPr="00337DB5">
              <w:rPr>
                <w:szCs w:val="22"/>
              </w:rPr>
              <w:t>A borrower went overseas in 2008, did not advise Inland Revenue and was not picked up through the passenger movement match with NZ Customs. The borrower has been treated as New Zealand-based and therefore not charged loan interest. In 2021 the borrower returns to New Zealand. Inland Revenue identifies that the borrower has been overseas for the preceding years and updates the borrower’s residency status for the time they were away.</w:t>
            </w:r>
          </w:p>
          <w:p w14:paraId="67009D6A" w14:textId="77777777" w:rsidR="00337DB5" w:rsidRDefault="00337DB5" w:rsidP="00F522AE">
            <w:pPr>
              <w:pStyle w:val="ListParagraph"/>
              <w:spacing w:line="240" w:lineRule="auto"/>
              <w:ind w:left="0"/>
              <w:rPr>
                <w:szCs w:val="22"/>
              </w:rPr>
            </w:pPr>
          </w:p>
          <w:p w14:paraId="1DA3D589" w14:textId="5CAD001E" w:rsidR="00CE780B" w:rsidRDefault="00834D20" w:rsidP="00F522AE">
            <w:pPr>
              <w:pStyle w:val="ListParagraph"/>
              <w:spacing w:line="240" w:lineRule="auto"/>
              <w:ind w:left="0"/>
              <w:rPr>
                <w:szCs w:val="22"/>
              </w:rPr>
            </w:pPr>
            <w:r w:rsidRPr="00834D20">
              <w:rPr>
                <w:szCs w:val="22"/>
              </w:rPr>
              <w:t xml:space="preserve">Under </w:t>
            </w:r>
            <w:r w:rsidR="007B72D1">
              <w:rPr>
                <w:szCs w:val="22"/>
              </w:rPr>
              <w:t>O</w:t>
            </w:r>
            <w:r>
              <w:rPr>
                <w:szCs w:val="22"/>
              </w:rPr>
              <w:t>ption</w:t>
            </w:r>
            <w:r w:rsidR="00980FB2">
              <w:rPr>
                <w:szCs w:val="22"/>
              </w:rPr>
              <w:t xml:space="preserve"> </w:t>
            </w:r>
            <w:r w:rsidR="007B72D1">
              <w:rPr>
                <w:szCs w:val="22"/>
              </w:rPr>
              <w:t>O</w:t>
            </w:r>
            <w:r w:rsidR="00980FB2">
              <w:rPr>
                <w:szCs w:val="22"/>
              </w:rPr>
              <w:t>ne</w:t>
            </w:r>
            <w:r w:rsidR="007B72D1">
              <w:rPr>
                <w:szCs w:val="22"/>
              </w:rPr>
              <w:t>,</w:t>
            </w:r>
            <w:r>
              <w:rPr>
                <w:szCs w:val="22"/>
              </w:rPr>
              <w:t xml:space="preserve"> </w:t>
            </w:r>
            <w:r w:rsidRPr="00834D20">
              <w:rPr>
                <w:szCs w:val="22"/>
              </w:rPr>
              <w:t>the borrower’s residency status will be changed with effect from the date they went overseas in 2008</w:t>
            </w:r>
            <w:r w:rsidR="00B654A0">
              <w:rPr>
                <w:szCs w:val="22"/>
              </w:rPr>
              <w:t xml:space="preserve"> </w:t>
            </w:r>
            <w:r w:rsidR="00CE780B">
              <w:rPr>
                <w:szCs w:val="22"/>
              </w:rPr>
              <w:t xml:space="preserve">and loan interest, repayment obligations and late payment interest would be </w:t>
            </w:r>
            <w:r w:rsidR="00B654A0">
              <w:rPr>
                <w:szCs w:val="22"/>
              </w:rPr>
              <w:t>imposed from that date.</w:t>
            </w:r>
          </w:p>
          <w:p w14:paraId="31439D12" w14:textId="77777777" w:rsidR="00CE780B" w:rsidRDefault="00CE780B" w:rsidP="00F522AE">
            <w:pPr>
              <w:pStyle w:val="ListParagraph"/>
              <w:spacing w:line="240" w:lineRule="auto"/>
              <w:ind w:left="0"/>
              <w:rPr>
                <w:szCs w:val="22"/>
              </w:rPr>
            </w:pPr>
          </w:p>
          <w:p w14:paraId="09ED8D24" w14:textId="008D8491" w:rsidR="00B654A0" w:rsidRDefault="00CE780B" w:rsidP="00F522AE">
            <w:pPr>
              <w:pStyle w:val="ListParagraph"/>
              <w:spacing w:line="240" w:lineRule="auto"/>
              <w:ind w:left="0"/>
              <w:rPr>
                <w:szCs w:val="22"/>
              </w:rPr>
            </w:pPr>
            <w:r>
              <w:rPr>
                <w:szCs w:val="22"/>
              </w:rPr>
              <w:t xml:space="preserve">Under </w:t>
            </w:r>
            <w:r w:rsidR="007B72D1">
              <w:rPr>
                <w:szCs w:val="22"/>
              </w:rPr>
              <w:t>O</w:t>
            </w:r>
            <w:r>
              <w:rPr>
                <w:szCs w:val="22"/>
              </w:rPr>
              <w:t xml:space="preserve">ption </w:t>
            </w:r>
            <w:r w:rsidR="007B72D1">
              <w:rPr>
                <w:szCs w:val="22"/>
              </w:rPr>
              <w:t>T</w:t>
            </w:r>
            <w:r>
              <w:rPr>
                <w:szCs w:val="22"/>
              </w:rPr>
              <w:t>hree</w:t>
            </w:r>
            <w:r w:rsidR="007B72D1">
              <w:rPr>
                <w:szCs w:val="22"/>
              </w:rPr>
              <w:t>,</w:t>
            </w:r>
            <w:r w:rsidR="00B654A0">
              <w:rPr>
                <w:szCs w:val="22"/>
              </w:rPr>
              <w:t xml:space="preserve"> </w:t>
            </w:r>
            <w:r w:rsidRPr="00834D20">
              <w:rPr>
                <w:szCs w:val="22"/>
              </w:rPr>
              <w:t>the borrower’s residency status will be changed with effect from the date they went overseas in 2008</w:t>
            </w:r>
            <w:r>
              <w:rPr>
                <w:szCs w:val="22"/>
              </w:rPr>
              <w:t xml:space="preserve"> and loan interest will be imposed from that date</w:t>
            </w:r>
            <w:r w:rsidR="00586B07">
              <w:rPr>
                <w:szCs w:val="22"/>
              </w:rPr>
              <w:t xml:space="preserve">. </w:t>
            </w:r>
            <w:r w:rsidR="00337DB5">
              <w:rPr>
                <w:szCs w:val="22"/>
              </w:rPr>
              <w:t xml:space="preserve">However, </w:t>
            </w:r>
            <w:r w:rsidR="00B654A0">
              <w:rPr>
                <w:szCs w:val="22"/>
              </w:rPr>
              <w:t xml:space="preserve">repayment obligations and late payment interest </w:t>
            </w:r>
            <w:r>
              <w:rPr>
                <w:szCs w:val="22"/>
              </w:rPr>
              <w:t xml:space="preserve">would only </w:t>
            </w:r>
            <w:r w:rsidR="00B654A0">
              <w:rPr>
                <w:szCs w:val="22"/>
              </w:rPr>
              <w:t>be imposed from 1 April 2013 onwards</w:t>
            </w:r>
            <w:r w:rsidR="00834D20" w:rsidRPr="00834D20">
              <w:rPr>
                <w:szCs w:val="22"/>
              </w:rPr>
              <w:t>.</w:t>
            </w:r>
          </w:p>
          <w:p w14:paraId="794C4A22" w14:textId="77777777" w:rsidR="00B654A0" w:rsidRDefault="00B654A0" w:rsidP="00F522AE">
            <w:pPr>
              <w:pStyle w:val="ListParagraph"/>
              <w:spacing w:line="240" w:lineRule="auto"/>
              <w:ind w:left="0"/>
              <w:rPr>
                <w:szCs w:val="22"/>
              </w:rPr>
            </w:pPr>
          </w:p>
          <w:p w14:paraId="7EC4F30F" w14:textId="7950DA23" w:rsidR="00834D20" w:rsidRPr="00834D20" w:rsidRDefault="00834D20" w:rsidP="00F522AE">
            <w:pPr>
              <w:pStyle w:val="ListParagraph"/>
              <w:spacing w:line="240" w:lineRule="auto"/>
              <w:ind w:left="0"/>
              <w:rPr>
                <w:szCs w:val="22"/>
              </w:rPr>
            </w:pPr>
            <w:r>
              <w:rPr>
                <w:szCs w:val="22"/>
              </w:rPr>
              <w:t xml:space="preserve">Under </w:t>
            </w:r>
            <w:r w:rsidR="00A279AA">
              <w:rPr>
                <w:szCs w:val="22"/>
              </w:rPr>
              <w:t>O</w:t>
            </w:r>
            <w:r>
              <w:rPr>
                <w:szCs w:val="22"/>
              </w:rPr>
              <w:t xml:space="preserve">ption </w:t>
            </w:r>
            <w:r w:rsidR="007B72D1">
              <w:rPr>
                <w:szCs w:val="22"/>
              </w:rPr>
              <w:t>T</w:t>
            </w:r>
            <w:r w:rsidR="00B654A0">
              <w:rPr>
                <w:szCs w:val="22"/>
              </w:rPr>
              <w:t>wo</w:t>
            </w:r>
            <w:r>
              <w:rPr>
                <w:szCs w:val="22"/>
              </w:rPr>
              <w:t xml:space="preserve"> no changes would be made to the borrower’s residency status prior to April 2013 but loan interest</w:t>
            </w:r>
            <w:r w:rsidR="00CE780B">
              <w:rPr>
                <w:szCs w:val="22"/>
              </w:rPr>
              <w:t xml:space="preserve">, </w:t>
            </w:r>
            <w:r w:rsidR="00B654A0">
              <w:rPr>
                <w:szCs w:val="22"/>
              </w:rPr>
              <w:t>repayment obligations</w:t>
            </w:r>
            <w:r w:rsidR="00CE780B">
              <w:rPr>
                <w:szCs w:val="22"/>
              </w:rPr>
              <w:t>, and late payment interest</w:t>
            </w:r>
            <w:r>
              <w:rPr>
                <w:szCs w:val="22"/>
              </w:rPr>
              <w:t xml:space="preserve"> would be imposed from </w:t>
            </w:r>
            <w:r w:rsidR="00CE780B">
              <w:rPr>
                <w:szCs w:val="22"/>
              </w:rPr>
              <w:t xml:space="preserve">1 April </w:t>
            </w:r>
            <w:r>
              <w:rPr>
                <w:szCs w:val="22"/>
              </w:rPr>
              <w:t>2013 onwards.</w:t>
            </w:r>
          </w:p>
          <w:p w14:paraId="64AD7843" w14:textId="77777777" w:rsidR="00834D20" w:rsidRDefault="00834D20" w:rsidP="00F522AE">
            <w:pPr>
              <w:pStyle w:val="ListParagraph"/>
              <w:spacing w:line="240" w:lineRule="auto"/>
              <w:ind w:left="0"/>
              <w:rPr>
                <w:szCs w:val="22"/>
              </w:rPr>
            </w:pPr>
          </w:p>
          <w:p w14:paraId="6DEB9F3E" w14:textId="77777777" w:rsidR="00834D20" w:rsidRPr="00834D20" w:rsidRDefault="00834D20" w:rsidP="00F522AE">
            <w:pPr>
              <w:pStyle w:val="ListParagraph"/>
              <w:spacing w:line="240" w:lineRule="auto"/>
              <w:ind w:left="0"/>
              <w:rPr>
                <w:szCs w:val="22"/>
                <w:u w:val="single"/>
              </w:rPr>
            </w:pPr>
            <w:r w:rsidRPr="00834D20">
              <w:rPr>
                <w:szCs w:val="22"/>
                <w:u w:val="single"/>
              </w:rPr>
              <w:lastRenderedPageBreak/>
              <w:t>Example 2</w:t>
            </w:r>
          </w:p>
          <w:p w14:paraId="034905DD" w14:textId="77777777" w:rsidR="00CE780B" w:rsidRDefault="00CE780B" w:rsidP="00F522AE">
            <w:pPr>
              <w:pStyle w:val="ListParagraph"/>
              <w:spacing w:line="240" w:lineRule="auto"/>
              <w:ind w:left="0"/>
              <w:rPr>
                <w:szCs w:val="22"/>
              </w:rPr>
            </w:pPr>
          </w:p>
          <w:p w14:paraId="237297F9" w14:textId="2DCD79C3" w:rsidR="005214DC" w:rsidRDefault="00E759DF" w:rsidP="00F522AE">
            <w:pPr>
              <w:pStyle w:val="ListParagraph"/>
              <w:spacing w:line="240" w:lineRule="auto"/>
              <w:ind w:left="0"/>
              <w:rPr>
                <w:szCs w:val="22"/>
              </w:rPr>
            </w:pPr>
            <w:r>
              <w:rPr>
                <w:szCs w:val="22"/>
              </w:rPr>
              <w:t xml:space="preserve">In 2009 the voluntary repayment </w:t>
            </w:r>
            <w:r w:rsidR="00500C15">
              <w:rPr>
                <w:szCs w:val="22"/>
              </w:rPr>
              <w:t>bonus</w:t>
            </w:r>
            <w:r>
              <w:rPr>
                <w:szCs w:val="22"/>
              </w:rPr>
              <w:t xml:space="preserve"> </w:t>
            </w:r>
            <w:r w:rsidR="00337DB5">
              <w:rPr>
                <w:szCs w:val="22"/>
              </w:rPr>
              <w:t xml:space="preserve">feature </w:t>
            </w:r>
            <w:r>
              <w:rPr>
                <w:szCs w:val="22"/>
              </w:rPr>
              <w:t>was introduced which rewarded borrowers for making voluntary repayments above what they were required to repay</w:t>
            </w:r>
            <w:r w:rsidR="00586B07">
              <w:rPr>
                <w:szCs w:val="22"/>
              </w:rPr>
              <w:t xml:space="preserve">. </w:t>
            </w:r>
            <w:r>
              <w:rPr>
                <w:szCs w:val="22"/>
              </w:rPr>
              <w:t xml:space="preserve">The bonus applied </w:t>
            </w:r>
            <w:r w:rsidR="005214DC">
              <w:rPr>
                <w:szCs w:val="22"/>
              </w:rPr>
              <w:t>for 5 years (2009-2013) before being repealed.</w:t>
            </w:r>
          </w:p>
          <w:p w14:paraId="7E3CF722" w14:textId="77777777" w:rsidR="005214DC" w:rsidRDefault="005214DC" w:rsidP="00F522AE">
            <w:pPr>
              <w:pStyle w:val="ListParagraph"/>
              <w:spacing w:line="240" w:lineRule="auto"/>
              <w:ind w:left="0"/>
              <w:rPr>
                <w:szCs w:val="22"/>
              </w:rPr>
            </w:pPr>
          </w:p>
          <w:p w14:paraId="03E1D5BB" w14:textId="6996F7B8" w:rsidR="00834D20" w:rsidRPr="00834D20" w:rsidRDefault="00834D20" w:rsidP="00F522AE">
            <w:pPr>
              <w:pStyle w:val="ListParagraph"/>
              <w:spacing w:line="240" w:lineRule="auto"/>
              <w:ind w:left="0"/>
              <w:rPr>
                <w:szCs w:val="22"/>
              </w:rPr>
            </w:pPr>
            <w:r>
              <w:rPr>
                <w:szCs w:val="22"/>
              </w:rPr>
              <w:t>I</w:t>
            </w:r>
            <w:r w:rsidRPr="00834D20">
              <w:rPr>
                <w:szCs w:val="22"/>
              </w:rPr>
              <w:t>n 20</w:t>
            </w:r>
            <w:r w:rsidR="005214DC">
              <w:rPr>
                <w:szCs w:val="22"/>
              </w:rPr>
              <w:t>20</w:t>
            </w:r>
            <w:r w:rsidRPr="00834D20">
              <w:rPr>
                <w:szCs w:val="22"/>
              </w:rPr>
              <w:t xml:space="preserve"> </w:t>
            </w:r>
            <w:r w:rsidR="005214DC">
              <w:rPr>
                <w:szCs w:val="22"/>
              </w:rPr>
              <w:t>a borrower identifie</w:t>
            </w:r>
            <w:r w:rsidR="000C7BDD">
              <w:rPr>
                <w:szCs w:val="22"/>
              </w:rPr>
              <w:t>s</w:t>
            </w:r>
            <w:r w:rsidR="005214DC">
              <w:rPr>
                <w:szCs w:val="22"/>
              </w:rPr>
              <w:t xml:space="preserve"> an error in the calculation of their voluntary repayment bonus for the 2010 year</w:t>
            </w:r>
            <w:r w:rsidR="003F1BF6">
              <w:rPr>
                <w:szCs w:val="22"/>
              </w:rPr>
              <w:t xml:space="preserve"> although their income remains unchanged</w:t>
            </w:r>
            <w:r w:rsidR="00586B07">
              <w:rPr>
                <w:szCs w:val="22"/>
              </w:rPr>
              <w:t xml:space="preserve">. </w:t>
            </w:r>
            <w:r w:rsidR="005214DC">
              <w:rPr>
                <w:szCs w:val="22"/>
              </w:rPr>
              <w:t>T</w:t>
            </w:r>
            <w:r w:rsidRPr="00834D20">
              <w:rPr>
                <w:szCs w:val="22"/>
              </w:rPr>
              <w:t>he</w:t>
            </w:r>
            <w:r w:rsidR="005214DC">
              <w:rPr>
                <w:szCs w:val="22"/>
              </w:rPr>
              <w:t xml:space="preserve">y apply to have the </w:t>
            </w:r>
            <w:r w:rsidRPr="00834D20">
              <w:rPr>
                <w:szCs w:val="22"/>
              </w:rPr>
              <w:t xml:space="preserve">voluntary repayment bonus </w:t>
            </w:r>
            <w:r w:rsidR="005214DC">
              <w:rPr>
                <w:szCs w:val="22"/>
              </w:rPr>
              <w:t xml:space="preserve">recalculated </w:t>
            </w:r>
            <w:r w:rsidRPr="00834D20">
              <w:rPr>
                <w:szCs w:val="22"/>
              </w:rPr>
              <w:t>for</w:t>
            </w:r>
            <w:r w:rsidR="005214DC">
              <w:rPr>
                <w:szCs w:val="22"/>
              </w:rPr>
              <w:t xml:space="preserve"> the 2010 year</w:t>
            </w:r>
            <w:r w:rsidR="00586B07">
              <w:rPr>
                <w:szCs w:val="22"/>
              </w:rPr>
              <w:t xml:space="preserve">. </w:t>
            </w:r>
            <w:r w:rsidRPr="00834D20">
              <w:rPr>
                <w:szCs w:val="22"/>
              </w:rPr>
              <w:t xml:space="preserve">Under </w:t>
            </w:r>
            <w:r w:rsidR="007B72D1">
              <w:rPr>
                <w:szCs w:val="22"/>
              </w:rPr>
              <w:t>O</w:t>
            </w:r>
            <w:r w:rsidRPr="00834D20">
              <w:rPr>
                <w:szCs w:val="22"/>
              </w:rPr>
              <w:t xml:space="preserve">ption </w:t>
            </w:r>
            <w:r w:rsidR="007B72D1">
              <w:rPr>
                <w:szCs w:val="22"/>
              </w:rPr>
              <w:t>O</w:t>
            </w:r>
            <w:r w:rsidR="00980FB2">
              <w:rPr>
                <w:szCs w:val="22"/>
              </w:rPr>
              <w:t>ne</w:t>
            </w:r>
            <w:r w:rsidR="007B72D1">
              <w:rPr>
                <w:szCs w:val="22"/>
              </w:rPr>
              <w:t>,</w:t>
            </w:r>
            <w:r w:rsidRPr="00834D20">
              <w:rPr>
                <w:szCs w:val="22"/>
              </w:rPr>
              <w:t xml:space="preserve"> the borrower would be able to receive the bonus but under </w:t>
            </w:r>
            <w:r w:rsidR="007B72D1">
              <w:rPr>
                <w:szCs w:val="22"/>
              </w:rPr>
              <w:t>O</w:t>
            </w:r>
            <w:r w:rsidRPr="00834D20">
              <w:rPr>
                <w:szCs w:val="22"/>
              </w:rPr>
              <w:t>ption</w:t>
            </w:r>
            <w:r>
              <w:rPr>
                <w:szCs w:val="22"/>
              </w:rPr>
              <w:t>s</w:t>
            </w:r>
            <w:r w:rsidRPr="00834D20">
              <w:rPr>
                <w:szCs w:val="22"/>
              </w:rPr>
              <w:t xml:space="preserve"> </w:t>
            </w:r>
            <w:r w:rsidR="007B72D1">
              <w:rPr>
                <w:szCs w:val="22"/>
              </w:rPr>
              <w:t>Two</w:t>
            </w:r>
            <w:r w:rsidRPr="00834D20">
              <w:rPr>
                <w:szCs w:val="22"/>
              </w:rPr>
              <w:t xml:space="preserve"> </w:t>
            </w:r>
            <w:r>
              <w:rPr>
                <w:szCs w:val="22"/>
              </w:rPr>
              <w:t xml:space="preserve">and </w:t>
            </w:r>
            <w:r w:rsidR="007B72D1">
              <w:rPr>
                <w:szCs w:val="22"/>
              </w:rPr>
              <w:t>Three,</w:t>
            </w:r>
            <w:r>
              <w:rPr>
                <w:szCs w:val="22"/>
              </w:rPr>
              <w:t xml:space="preserve"> </w:t>
            </w:r>
            <w:r w:rsidRPr="00834D20">
              <w:rPr>
                <w:szCs w:val="22"/>
              </w:rPr>
              <w:t>they would not</w:t>
            </w:r>
            <w:r w:rsidR="00586B07">
              <w:rPr>
                <w:szCs w:val="22"/>
              </w:rPr>
              <w:t xml:space="preserve">. </w:t>
            </w:r>
            <w:r w:rsidR="00705320">
              <w:rPr>
                <w:szCs w:val="22"/>
              </w:rPr>
              <w:t xml:space="preserve">We do not expect lack of retrospective entitlement to the voluntary repayment bonus to be a significant issue, given that few people took it up and there has been a long period during which </w:t>
            </w:r>
            <w:r w:rsidR="000C7BDD">
              <w:rPr>
                <w:szCs w:val="22"/>
              </w:rPr>
              <w:t xml:space="preserve">any affected </w:t>
            </w:r>
            <w:r w:rsidR="00705320">
              <w:rPr>
                <w:szCs w:val="22"/>
              </w:rPr>
              <w:t>borrowers could have sought a recalculation of their entitlement.</w:t>
            </w:r>
          </w:p>
          <w:p w14:paraId="09D11C83" w14:textId="77777777" w:rsidR="00834D20" w:rsidRPr="00834D20" w:rsidRDefault="00834D20" w:rsidP="00F522AE">
            <w:pPr>
              <w:pStyle w:val="ListParagraph"/>
              <w:spacing w:line="240" w:lineRule="auto"/>
              <w:ind w:left="0"/>
              <w:rPr>
                <w:szCs w:val="22"/>
              </w:rPr>
            </w:pPr>
          </w:p>
          <w:p w14:paraId="363F7C32" w14:textId="77777777" w:rsidR="00834D20" w:rsidRPr="00834D20" w:rsidRDefault="00834D20" w:rsidP="00F522AE">
            <w:pPr>
              <w:pStyle w:val="ListParagraph"/>
              <w:spacing w:line="240" w:lineRule="auto"/>
              <w:ind w:left="0"/>
              <w:rPr>
                <w:szCs w:val="22"/>
                <w:u w:val="single"/>
              </w:rPr>
            </w:pPr>
            <w:r w:rsidRPr="00834D20">
              <w:rPr>
                <w:szCs w:val="22"/>
                <w:u w:val="single"/>
              </w:rPr>
              <w:t xml:space="preserve">Example </w:t>
            </w:r>
            <w:r>
              <w:rPr>
                <w:szCs w:val="22"/>
                <w:u w:val="single"/>
              </w:rPr>
              <w:t>3</w:t>
            </w:r>
          </w:p>
          <w:p w14:paraId="3C8C6341" w14:textId="77777777" w:rsidR="00337DB5" w:rsidRDefault="00337DB5" w:rsidP="00F522AE">
            <w:pPr>
              <w:pStyle w:val="ListParagraph"/>
              <w:spacing w:line="240" w:lineRule="auto"/>
              <w:ind w:left="0"/>
              <w:rPr>
                <w:szCs w:val="22"/>
              </w:rPr>
            </w:pPr>
          </w:p>
          <w:p w14:paraId="70C88D53" w14:textId="239CCA77" w:rsidR="005214DC" w:rsidRPr="005214DC" w:rsidRDefault="005214DC" w:rsidP="00F522AE">
            <w:pPr>
              <w:pStyle w:val="ListParagraph"/>
              <w:spacing w:line="240" w:lineRule="auto"/>
              <w:ind w:left="0"/>
              <w:rPr>
                <w:szCs w:val="22"/>
              </w:rPr>
            </w:pPr>
            <w:r w:rsidRPr="005214DC">
              <w:rPr>
                <w:szCs w:val="22"/>
              </w:rPr>
              <w:t>A taxpayer has committed fraud through not declaring a large source of income for the 2008 year</w:t>
            </w:r>
            <w:r w:rsidR="00586B07">
              <w:rPr>
                <w:szCs w:val="22"/>
              </w:rPr>
              <w:t xml:space="preserve">. </w:t>
            </w:r>
            <w:r w:rsidRPr="005214DC">
              <w:rPr>
                <w:szCs w:val="22"/>
              </w:rPr>
              <w:t>This has implications for both their income tax and student loan obligations</w:t>
            </w:r>
            <w:r w:rsidR="00586B07">
              <w:rPr>
                <w:szCs w:val="22"/>
              </w:rPr>
              <w:t xml:space="preserve">. </w:t>
            </w:r>
            <w:r w:rsidRPr="005214DC">
              <w:rPr>
                <w:szCs w:val="22"/>
              </w:rPr>
              <w:t>The four-year period for making changes to an income tax obligation after a return is filed does not apply where fraud is involved</w:t>
            </w:r>
            <w:r w:rsidR="00586B07">
              <w:rPr>
                <w:szCs w:val="22"/>
              </w:rPr>
              <w:t xml:space="preserve">. </w:t>
            </w:r>
            <w:r w:rsidRPr="005214DC">
              <w:rPr>
                <w:szCs w:val="22"/>
              </w:rPr>
              <w:t>Therefore, the Commissioner amends the taxpayer’s income tax liability for the 2008 year</w:t>
            </w:r>
            <w:r w:rsidR="00586B07">
              <w:rPr>
                <w:szCs w:val="22"/>
              </w:rPr>
              <w:t xml:space="preserve">. </w:t>
            </w:r>
            <w:r w:rsidRPr="005214DC">
              <w:rPr>
                <w:szCs w:val="22"/>
              </w:rPr>
              <w:t xml:space="preserve">Under </w:t>
            </w:r>
            <w:r w:rsidR="007B72D1">
              <w:rPr>
                <w:szCs w:val="22"/>
              </w:rPr>
              <w:t>O</w:t>
            </w:r>
            <w:r w:rsidRPr="005214DC">
              <w:rPr>
                <w:szCs w:val="22"/>
              </w:rPr>
              <w:t xml:space="preserve">ptions </w:t>
            </w:r>
            <w:r w:rsidR="007B72D1">
              <w:rPr>
                <w:szCs w:val="22"/>
              </w:rPr>
              <w:t>O</w:t>
            </w:r>
            <w:r w:rsidR="00980FB2">
              <w:rPr>
                <w:szCs w:val="22"/>
              </w:rPr>
              <w:t xml:space="preserve">ne, </w:t>
            </w:r>
            <w:r w:rsidR="007B72D1">
              <w:rPr>
                <w:szCs w:val="22"/>
              </w:rPr>
              <w:t>T</w:t>
            </w:r>
            <w:r w:rsidR="00980FB2">
              <w:rPr>
                <w:szCs w:val="22"/>
              </w:rPr>
              <w:t>wo</w:t>
            </w:r>
            <w:r w:rsidRPr="005214DC">
              <w:rPr>
                <w:szCs w:val="22"/>
              </w:rPr>
              <w:t>,</w:t>
            </w:r>
            <w:r w:rsidR="00980FB2">
              <w:rPr>
                <w:szCs w:val="22"/>
              </w:rPr>
              <w:t xml:space="preserve"> and </w:t>
            </w:r>
            <w:r w:rsidR="007B72D1">
              <w:rPr>
                <w:szCs w:val="22"/>
              </w:rPr>
              <w:t>T</w:t>
            </w:r>
            <w:r w:rsidR="00980FB2">
              <w:rPr>
                <w:szCs w:val="22"/>
              </w:rPr>
              <w:t>hree</w:t>
            </w:r>
            <w:r w:rsidR="007B72D1">
              <w:rPr>
                <w:szCs w:val="22"/>
              </w:rPr>
              <w:t>,</w:t>
            </w:r>
            <w:r w:rsidRPr="005214DC">
              <w:rPr>
                <w:szCs w:val="22"/>
              </w:rPr>
              <w:t xml:space="preserve"> the student loan repayment obligation would also be change</w:t>
            </w:r>
            <w:r w:rsidR="003F1BF6">
              <w:rPr>
                <w:szCs w:val="22"/>
              </w:rPr>
              <w:t>d</w:t>
            </w:r>
            <w:r w:rsidR="00586B07">
              <w:rPr>
                <w:szCs w:val="22"/>
              </w:rPr>
              <w:t xml:space="preserve">. </w:t>
            </w:r>
            <w:r w:rsidRPr="005214DC">
              <w:rPr>
                <w:szCs w:val="22"/>
              </w:rPr>
              <w:t xml:space="preserve">Under </w:t>
            </w:r>
            <w:r w:rsidR="007B72D1">
              <w:rPr>
                <w:szCs w:val="22"/>
              </w:rPr>
              <w:t>O</w:t>
            </w:r>
            <w:r w:rsidRPr="005214DC">
              <w:rPr>
                <w:szCs w:val="22"/>
              </w:rPr>
              <w:t>ption</w:t>
            </w:r>
            <w:r w:rsidR="00980FB2">
              <w:rPr>
                <w:szCs w:val="22"/>
              </w:rPr>
              <w:t>s</w:t>
            </w:r>
            <w:r w:rsidRPr="005214DC">
              <w:rPr>
                <w:szCs w:val="22"/>
              </w:rPr>
              <w:t xml:space="preserve"> </w:t>
            </w:r>
            <w:r w:rsidR="007B72D1">
              <w:rPr>
                <w:szCs w:val="22"/>
              </w:rPr>
              <w:t>O</w:t>
            </w:r>
            <w:r w:rsidR="00980FB2">
              <w:rPr>
                <w:szCs w:val="22"/>
              </w:rPr>
              <w:t>ne</w:t>
            </w:r>
            <w:r w:rsidR="00CD70A3">
              <w:rPr>
                <w:szCs w:val="22"/>
              </w:rPr>
              <w:t xml:space="preserve"> and </w:t>
            </w:r>
            <w:r w:rsidR="007B72D1">
              <w:rPr>
                <w:szCs w:val="22"/>
              </w:rPr>
              <w:t>T</w:t>
            </w:r>
            <w:r w:rsidR="00CD70A3">
              <w:rPr>
                <w:szCs w:val="22"/>
              </w:rPr>
              <w:t>wo</w:t>
            </w:r>
            <w:r w:rsidR="007B72D1">
              <w:rPr>
                <w:szCs w:val="22"/>
              </w:rPr>
              <w:t>,</w:t>
            </w:r>
            <w:r w:rsidRPr="005214DC">
              <w:rPr>
                <w:szCs w:val="22"/>
              </w:rPr>
              <w:t xml:space="preserve"> the student loan repayment obligation would be calculated on both the adjusted income for the year and the relevant student loan rules for that year</w:t>
            </w:r>
            <w:r w:rsidR="00586B07">
              <w:rPr>
                <w:szCs w:val="22"/>
              </w:rPr>
              <w:t xml:space="preserve">. </w:t>
            </w:r>
            <w:r w:rsidRPr="005214DC">
              <w:rPr>
                <w:szCs w:val="22"/>
              </w:rPr>
              <w:t xml:space="preserve">Under </w:t>
            </w:r>
            <w:r w:rsidR="007B72D1">
              <w:rPr>
                <w:szCs w:val="22"/>
              </w:rPr>
              <w:t>O</w:t>
            </w:r>
            <w:r w:rsidRPr="005214DC">
              <w:rPr>
                <w:szCs w:val="22"/>
              </w:rPr>
              <w:t xml:space="preserve">ption </w:t>
            </w:r>
            <w:r w:rsidR="007B72D1">
              <w:rPr>
                <w:szCs w:val="22"/>
              </w:rPr>
              <w:t>T</w:t>
            </w:r>
            <w:r w:rsidR="00980FB2">
              <w:rPr>
                <w:szCs w:val="22"/>
              </w:rPr>
              <w:t>hree</w:t>
            </w:r>
            <w:r w:rsidRPr="005214DC">
              <w:rPr>
                <w:szCs w:val="22"/>
              </w:rPr>
              <w:t>, the repayment obligation would only be calculated on the adjusted income and late payment interest would only apply from 1 April 2013 onwards.</w:t>
            </w:r>
          </w:p>
          <w:p w14:paraId="58E2ABC0" w14:textId="77777777" w:rsidR="009807E7" w:rsidRPr="00EA1675" w:rsidRDefault="009807E7" w:rsidP="00E853F0">
            <w:pPr>
              <w:pStyle w:val="NumberedParagraph"/>
              <w:numPr>
                <w:ilvl w:val="0"/>
                <w:numId w:val="0"/>
              </w:numPr>
              <w:spacing w:after="0"/>
              <w:rPr>
                <w:rFonts w:ascii="Arial" w:hAnsi="Arial" w:cs="Arial"/>
                <w:b/>
                <w:sz w:val="22"/>
                <w:szCs w:val="22"/>
              </w:rPr>
            </w:pPr>
          </w:p>
        </w:tc>
      </w:tr>
    </w:tbl>
    <w:p w14:paraId="6188D0B1" w14:textId="77777777" w:rsidR="00F132B2" w:rsidRPr="00765467" w:rsidRDefault="00F132B2" w:rsidP="00567434">
      <w:pPr>
        <w:pStyle w:val="spacer"/>
        <w:rPr>
          <w:sz w:val="24"/>
          <w:szCs w:val="24"/>
        </w:rPr>
      </w:pP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2D5734" w:rsidRPr="0069218C" w14:paraId="1BCB6B01" w14:textId="77777777" w:rsidTr="00800DEC">
        <w:trPr>
          <w:trHeight w:val="84"/>
        </w:trPr>
        <w:tc>
          <w:tcPr>
            <w:tcW w:w="5000" w:type="pct"/>
            <w:tcBorders>
              <w:top w:val="single" w:sz="4" w:space="0" w:color="auto"/>
              <w:left w:val="single" w:sz="4" w:space="0" w:color="auto"/>
              <w:bottom w:val="single" w:sz="4" w:space="0" w:color="auto"/>
              <w:right w:val="single" w:sz="4" w:space="0" w:color="auto"/>
            </w:tcBorders>
            <w:shd w:val="clear" w:color="auto" w:fill="99CDDD"/>
          </w:tcPr>
          <w:p w14:paraId="58BB12C1" w14:textId="77777777" w:rsidR="00E92509" w:rsidRPr="00886DFF" w:rsidRDefault="00B23E8A" w:rsidP="00EC6FAD">
            <w:pPr>
              <w:pStyle w:val="TableHeadings"/>
              <w:rPr>
                <w:szCs w:val="22"/>
                <w:lang w:val="en-NZ"/>
              </w:rPr>
            </w:pPr>
            <w:r w:rsidRPr="00886DFF">
              <w:rPr>
                <w:szCs w:val="22"/>
                <w:lang w:val="en-NZ"/>
              </w:rPr>
              <w:t>3</w:t>
            </w:r>
            <w:r w:rsidR="002A56F0" w:rsidRPr="00886DFF">
              <w:rPr>
                <w:szCs w:val="22"/>
                <w:lang w:val="en-NZ"/>
              </w:rPr>
              <w:t>.</w:t>
            </w:r>
            <w:r w:rsidR="00051A88" w:rsidRPr="00886DFF">
              <w:rPr>
                <w:szCs w:val="22"/>
                <w:lang w:val="en-NZ"/>
              </w:rPr>
              <w:t>2</w:t>
            </w:r>
            <w:r w:rsidR="002A56F0" w:rsidRPr="00886DFF">
              <w:rPr>
                <w:szCs w:val="22"/>
                <w:lang w:val="en-NZ"/>
              </w:rPr>
              <w:t xml:space="preserve">  </w:t>
            </w:r>
            <w:r w:rsidR="00962209" w:rsidRPr="00886DFF">
              <w:rPr>
                <w:szCs w:val="22"/>
                <w:lang w:val="en-NZ"/>
              </w:rPr>
              <w:t xml:space="preserve"> </w:t>
            </w:r>
            <w:r w:rsidR="00D019CB" w:rsidRPr="00886DFF">
              <w:rPr>
                <w:szCs w:val="22"/>
                <w:lang w:val="en-NZ"/>
              </w:rPr>
              <w:t>Which of these options is</w:t>
            </w:r>
            <w:r w:rsidR="00962209" w:rsidRPr="00886DFF">
              <w:rPr>
                <w:szCs w:val="22"/>
                <w:lang w:val="en-NZ"/>
              </w:rPr>
              <w:t xml:space="preserve"> the </w:t>
            </w:r>
            <w:r w:rsidR="00051A88" w:rsidRPr="00886DFF">
              <w:rPr>
                <w:szCs w:val="22"/>
                <w:lang w:val="en-NZ"/>
              </w:rPr>
              <w:t>proposed approach</w:t>
            </w:r>
            <w:r w:rsidR="00962209" w:rsidRPr="00886DFF">
              <w:rPr>
                <w:szCs w:val="22"/>
                <w:lang w:val="en-NZ"/>
              </w:rPr>
              <w:t xml:space="preserve">?  </w:t>
            </w:r>
          </w:p>
        </w:tc>
      </w:tr>
      <w:tr w:rsidR="00F132B2" w:rsidRPr="0069218C" w14:paraId="4FCB751C" w14:textId="77777777" w:rsidTr="001C12FC">
        <w:trPr>
          <w:trHeight w:val="116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5D4C6A0" w14:textId="77777777" w:rsidR="001806DF" w:rsidRPr="00EA3984" w:rsidRDefault="001806DF" w:rsidP="00F522AE">
            <w:pPr>
              <w:pStyle w:val="NumberedParagraph"/>
              <w:numPr>
                <w:ilvl w:val="0"/>
                <w:numId w:val="0"/>
              </w:numPr>
              <w:tabs>
                <w:tab w:val="left" w:pos="720"/>
              </w:tabs>
              <w:spacing w:after="0"/>
              <w:jc w:val="left"/>
              <w:rPr>
                <w:rFonts w:ascii="Arial" w:eastAsia="Times New Roman" w:hAnsi="Arial" w:cs="Arial"/>
                <w:sz w:val="22"/>
                <w:szCs w:val="22"/>
                <w:lang w:val="en-GB" w:eastAsia="en-GB"/>
              </w:rPr>
            </w:pPr>
          </w:p>
          <w:p w14:paraId="2ED4C9FC" w14:textId="4D558956" w:rsidR="009359DF" w:rsidRPr="009359DF" w:rsidRDefault="00AA7962" w:rsidP="00F522AE">
            <w:pPr>
              <w:pStyle w:val="NumberedParagraph"/>
              <w:numPr>
                <w:ilvl w:val="0"/>
                <w:numId w:val="0"/>
              </w:numPr>
              <w:tabs>
                <w:tab w:val="left" w:pos="720"/>
              </w:tabs>
              <w:spacing w:after="0"/>
              <w:jc w:val="left"/>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Officials </w:t>
            </w:r>
            <w:r w:rsidR="00D57CA0" w:rsidRPr="00EA3984">
              <w:rPr>
                <w:rFonts w:ascii="Arial" w:eastAsia="Times New Roman" w:hAnsi="Arial" w:cs="Arial"/>
                <w:sz w:val="22"/>
                <w:szCs w:val="22"/>
                <w:lang w:val="en-GB" w:eastAsia="en-GB"/>
              </w:rPr>
              <w:t xml:space="preserve">consider Option </w:t>
            </w:r>
            <w:r w:rsidR="00A279AA">
              <w:rPr>
                <w:rFonts w:ascii="Arial" w:eastAsia="Times New Roman" w:hAnsi="Arial" w:cs="Arial"/>
                <w:sz w:val="22"/>
                <w:szCs w:val="22"/>
                <w:lang w:val="en-GB" w:eastAsia="en-GB"/>
              </w:rPr>
              <w:t>T</w:t>
            </w:r>
            <w:r w:rsidR="005738FE">
              <w:rPr>
                <w:rFonts w:ascii="Arial" w:eastAsia="Times New Roman" w:hAnsi="Arial" w:cs="Arial"/>
                <w:sz w:val="22"/>
                <w:szCs w:val="22"/>
                <w:lang w:val="en-GB" w:eastAsia="en-GB"/>
              </w:rPr>
              <w:t>hree</w:t>
            </w:r>
            <w:r w:rsidR="00D57CA0" w:rsidRPr="00EA3984">
              <w:rPr>
                <w:rFonts w:ascii="Arial" w:eastAsia="Times New Roman" w:hAnsi="Arial" w:cs="Arial"/>
                <w:sz w:val="22"/>
                <w:szCs w:val="22"/>
                <w:lang w:val="en-GB" w:eastAsia="en-GB"/>
              </w:rPr>
              <w:t xml:space="preserve"> to be the </w:t>
            </w:r>
            <w:r>
              <w:rPr>
                <w:rFonts w:ascii="Arial" w:eastAsia="Times New Roman" w:hAnsi="Arial" w:cs="Arial"/>
                <w:sz w:val="22"/>
                <w:szCs w:val="22"/>
                <w:lang w:val="en-GB" w:eastAsia="en-GB"/>
              </w:rPr>
              <w:t>preferred</w:t>
            </w:r>
            <w:r w:rsidR="00D57CA0" w:rsidRPr="00EA3984">
              <w:rPr>
                <w:rFonts w:ascii="Arial" w:eastAsia="Times New Roman" w:hAnsi="Arial" w:cs="Arial"/>
                <w:sz w:val="22"/>
                <w:szCs w:val="22"/>
                <w:lang w:val="en-GB" w:eastAsia="en-GB"/>
              </w:rPr>
              <w:t xml:space="preserve"> option</w:t>
            </w:r>
            <w:r w:rsidR="00586B07">
              <w:rPr>
                <w:rFonts w:ascii="Arial" w:eastAsia="Times New Roman" w:hAnsi="Arial" w:cs="Arial"/>
                <w:sz w:val="22"/>
                <w:szCs w:val="22"/>
                <w:lang w:val="en-GB" w:eastAsia="en-GB"/>
              </w:rPr>
              <w:t xml:space="preserve">. </w:t>
            </w:r>
            <w:r w:rsidR="00D57CA0" w:rsidRPr="00EA3984">
              <w:rPr>
                <w:rFonts w:ascii="Arial" w:eastAsia="Times New Roman" w:hAnsi="Arial" w:cs="Arial"/>
                <w:sz w:val="22"/>
                <w:szCs w:val="22"/>
                <w:lang w:val="en-GB" w:eastAsia="en-GB"/>
              </w:rPr>
              <w:t xml:space="preserve">This option </w:t>
            </w:r>
            <w:r w:rsidR="00E5248E" w:rsidRPr="00EA3984">
              <w:rPr>
                <w:rFonts w:ascii="Arial" w:eastAsia="Times New Roman" w:hAnsi="Arial" w:cs="Arial"/>
                <w:sz w:val="22"/>
                <w:szCs w:val="22"/>
                <w:lang w:val="en-GB" w:eastAsia="en-GB"/>
              </w:rPr>
              <w:t>a</w:t>
            </w:r>
            <w:r w:rsidR="00D57CA0" w:rsidRPr="00EA3984">
              <w:rPr>
                <w:rFonts w:ascii="Arial" w:eastAsia="Times New Roman" w:hAnsi="Arial" w:cs="Arial"/>
                <w:sz w:val="22"/>
                <w:szCs w:val="22"/>
                <w:lang w:val="en-GB" w:eastAsia="en-GB"/>
              </w:rPr>
              <w:t>ddresses the policy problem set out in 2.1</w:t>
            </w:r>
            <w:r w:rsidR="00AF5B56">
              <w:rPr>
                <w:rFonts w:ascii="Arial" w:eastAsia="Times New Roman" w:hAnsi="Arial" w:cs="Arial"/>
                <w:sz w:val="22"/>
                <w:szCs w:val="22"/>
                <w:lang w:val="en-GB" w:eastAsia="en-GB"/>
              </w:rPr>
              <w:t xml:space="preserve"> and </w:t>
            </w:r>
            <w:r w:rsidR="00E5248E" w:rsidRPr="00EA3984">
              <w:rPr>
                <w:rFonts w:ascii="Arial" w:eastAsia="Times New Roman" w:hAnsi="Arial" w:cs="Arial"/>
                <w:sz w:val="22"/>
                <w:szCs w:val="22"/>
                <w:lang w:val="en-GB" w:eastAsia="en-GB"/>
              </w:rPr>
              <w:t>has advantages in terms of ensuring equity between</w:t>
            </w:r>
            <w:r w:rsidR="00AF5B56">
              <w:rPr>
                <w:rFonts w:ascii="Arial" w:eastAsia="Times New Roman" w:hAnsi="Arial" w:cs="Arial"/>
                <w:sz w:val="22"/>
                <w:szCs w:val="22"/>
                <w:lang w:val="en-GB" w:eastAsia="en-GB"/>
              </w:rPr>
              <w:t xml:space="preserve"> compliant borrowers and non-compliant overseas </w:t>
            </w:r>
            <w:r w:rsidR="00E5248E" w:rsidRPr="00EA3984">
              <w:rPr>
                <w:rFonts w:ascii="Arial" w:eastAsia="Times New Roman" w:hAnsi="Arial" w:cs="Arial"/>
                <w:sz w:val="22"/>
                <w:szCs w:val="22"/>
                <w:lang w:val="en-GB" w:eastAsia="en-GB"/>
              </w:rPr>
              <w:t>borrowers</w:t>
            </w:r>
            <w:r w:rsidR="005B6570">
              <w:rPr>
                <w:rFonts w:ascii="Arial" w:eastAsia="Times New Roman" w:hAnsi="Arial" w:cs="Arial"/>
                <w:sz w:val="22"/>
                <w:szCs w:val="22"/>
                <w:lang w:val="en-GB" w:eastAsia="en-GB"/>
              </w:rPr>
              <w:t xml:space="preserve">, </w:t>
            </w:r>
            <w:r w:rsidR="00AF5B56">
              <w:rPr>
                <w:rFonts w:ascii="Arial" w:eastAsia="Times New Roman" w:hAnsi="Arial" w:cs="Arial"/>
                <w:sz w:val="22"/>
                <w:szCs w:val="22"/>
                <w:lang w:val="en-GB" w:eastAsia="en-GB"/>
              </w:rPr>
              <w:t xml:space="preserve">those </w:t>
            </w:r>
            <w:r w:rsidR="005B6570">
              <w:rPr>
                <w:rFonts w:ascii="Arial" w:eastAsia="Times New Roman" w:hAnsi="Arial" w:cs="Arial"/>
                <w:sz w:val="22"/>
                <w:szCs w:val="22"/>
                <w:lang w:val="en-GB" w:eastAsia="en-GB"/>
              </w:rPr>
              <w:t xml:space="preserve">who </w:t>
            </w:r>
            <w:r w:rsidR="00AF5B56">
              <w:rPr>
                <w:rFonts w:ascii="Arial" w:eastAsia="Times New Roman" w:hAnsi="Arial" w:cs="Arial"/>
                <w:sz w:val="22"/>
                <w:szCs w:val="22"/>
                <w:lang w:val="en-GB" w:eastAsia="en-GB"/>
              </w:rPr>
              <w:t>under declar</w:t>
            </w:r>
            <w:r w:rsidR="005B6570">
              <w:rPr>
                <w:rFonts w:ascii="Arial" w:eastAsia="Times New Roman" w:hAnsi="Arial" w:cs="Arial"/>
                <w:sz w:val="22"/>
                <w:szCs w:val="22"/>
                <w:lang w:val="en-GB" w:eastAsia="en-GB"/>
              </w:rPr>
              <w:t>e</w:t>
            </w:r>
            <w:r w:rsidR="00AF5B56">
              <w:rPr>
                <w:rFonts w:ascii="Arial" w:eastAsia="Times New Roman" w:hAnsi="Arial" w:cs="Arial"/>
                <w:sz w:val="22"/>
                <w:szCs w:val="22"/>
                <w:lang w:val="en-GB" w:eastAsia="en-GB"/>
              </w:rPr>
              <w:t xml:space="preserve"> income</w:t>
            </w:r>
            <w:r w:rsidR="005B6570">
              <w:rPr>
                <w:rFonts w:ascii="Arial" w:eastAsia="Times New Roman" w:hAnsi="Arial" w:cs="Arial"/>
                <w:sz w:val="22"/>
                <w:szCs w:val="22"/>
                <w:lang w:val="en-GB" w:eastAsia="en-GB"/>
              </w:rPr>
              <w:t>, or those who commit fraud</w:t>
            </w:r>
            <w:r w:rsidR="00586B07">
              <w:rPr>
                <w:rFonts w:ascii="Arial" w:eastAsia="Times New Roman" w:hAnsi="Arial" w:cs="Arial"/>
                <w:sz w:val="22"/>
                <w:szCs w:val="22"/>
                <w:lang w:val="en-GB" w:eastAsia="en-GB"/>
              </w:rPr>
              <w:t xml:space="preserve">. </w:t>
            </w:r>
            <w:r w:rsidR="00AF5B56">
              <w:rPr>
                <w:rFonts w:ascii="Arial" w:eastAsia="Times New Roman" w:hAnsi="Arial" w:cs="Arial"/>
                <w:sz w:val="22"/>
                <w:szCs w:val="22"/>
                <w:lang w:val="en-GB" w:eastAsia="en-GB"/>
              </w:rPr>
              <w:t>It also</w:t>
            </w:r>
            <w:r w:rsidR="00E5248E" w:rsidRPr="00EA3984">
              <w:rPr>
                <w:rFonts w:ascii="Arial" w:eastAsia="Times New Roman" w:hAnsi="Arial" w:cs="Arial"/>
                <w:sz w:val="22"/>
                <w:szCs w:val="22"/>
                <w:lang w:val="en-GB" w:eastAsia="en-GB"/>
              </w:rPr>
              <w:t xml:space="preserve"> reduces the complexity of the scheme and therefore</w:t>
            </w:r>
            <w:r w:rsidR="00176DEF">
              <w:rPr>
                <w:rFonts w:ascii="Arial" w:eastAsia="Times New Roman" w:hAnsi="Arial" w:cs="Arial"/>
                <w:sz w:val="22"/>
                <w:szCs w:val="22"/>
                <w:lang w:val="en-GB" w:eastAsia="en-GB"/>
              </w:rPr>
              <w:t xml:space="preserve"> makes it easier for borrowers to understand their loan obligations </w:t>
            </w:r>
            <w:r w:rsidR="00E5248E" w:rsidRPr="00EA3984">
              <w:rPr>
                <w:rFonts w:ascii="Arial" w:eastAsia="Times New Roman" w:hAnsi="Arial" w:cs="Arial"/>
                <w:sz w:val="22"/>
                <w:szCs w:val="22"/>
                <w:lang w:val="en-GB" w:eastAsia="en-GB"/>
              </w:rPr>
              <w:t xml:space="preserve">and </w:t>
            </w:r>
            <w:r w:rsidR="00176DEF">
              <w:rPr>
                <w:rFonts w:ascii="Arial" w:eastAsia="Times New Roman" w:hAnsi="Arial" w:cs="Arial"/>
                <w:sz w:val="22"/>
                <w:szCs w:val="22"/>
                <w:lang w:val="en-GB" w:eastAsia="en-GB"/>
              </w:rPr>
              <w:t xml:space="preserve">reduces the </w:t>
            </w:r>
            <w:r w:rsidR="00E5248E" w:rsidRPr="00EA3984">
              <w:rPr>
                <w:rFonts w:ascii="Arial" w:eastAsia="Times New Roman" w:hAnsi="Arial" w:cs="Arial"/>
                <w:sz w:val="22"/>
                <w:szCs w:val="22"/>
                <w:lang w:val="en-GB" w:eastAsia="en-GB"/>
              </w:rPr>
              <w:t>administration costs for Inland Revenue over the status quo</w:t>
            </w:r>
            <w:r w:rsidR="00586B07">
              <w:rPr>
                <w:rFonts w:ascii="Arial" w:eastAsia="Times New Roman" w:hAnsi="Arial" w:cs="Arial"/>
                <w:sz w:val="22"/>
                <w:szCs w:val="22"/>
                <w:lang w:val="en-GB" w:eastAsia="en-GB"/>
              </w:rPr>
              <w:t xml:space="preserve">. </w:t>
            </w:r>
            <w:r w:rsidR="00E5248E" w:rsidRPr="00EA3984">
              <w:rPr>
                <w:rFonts w:ascii="Arial" w:eastAsia="Times New Roman" w:hAnsi="Arial" w:cs="Arial"/>
                <w:sz w:val="22"/>
                <w:szCs w:val="22"/>
                <w:lang w:val="en-GB" w:eastAsia="en-GB"/>
              </w:rPr>
              <w:t xml:space="preserve">This option has no material impact on the student loan valuation and </w:t>
            </w:r>
            <w:r w:rsidR="009359DF">
              <w:rPr>
                <w:rFonts w:ascii="Arial" w:eastAsia="Times New Roman" w:hAnsi="Arial" w:cs="Arial"/>
                <w:sz w:val="22"/>
                <w:szCs w:val="22"/>
                <w:lang w:val="en-GB" w:eastAsia="en-GB"/>
              </w:rPr>
              <w:t xml:space="preserve">reduces the time and cost of </w:t>
            </w:r>
            <w:r w:rsidR="00E5248E" w:rsidRPr="00EA3984">
              <w:rPr>
                <w:rFonts w:ascii="Arial" w:eastAsia="Times New Roman" w:hAnsi="Arial" w:cs="Arial"/>
                <w:sz w:val="22"/>
                <w:szCs w:val="22"/>
                <w:lang w:val="en-GB" w:eastAsia="en-GB"/>
              </w:rPr>
              <w:t>mak</w:t>
            </w:r>
            <w:r w:rsidR="009359DF">
              <w:rPr>
                <w:rFonts w:ascii="Arial" w:eastAsia="Times New Roman" w:hAnsi="Arial" w:cs="Arial"/>
                <w:sz w:val="22"/>
                <w:szCs w:val="22"/>
                <w:lang w:val="en-GB" w:eastAsia="en-GB"/>
              </w:rPr>
              <w:t>ing</w:t>
            </w:r>
            <w:r w:rsidR="00E5248E" w:rsidRPr="00EA3984">
              <w:rPr>
                <w:rFonts w:ascii="Arial" w:eastAsia="Times New Roman" w:hAnsi="Arial" w:cs="Arial"/>
                <w:sz w:val="22"/>
                <w:szCs w:val="22"/>
                <w:lang w:val="en-GB" w:eastAsia="en-GB"/>
              </w:rPr>
              <w:t xml:space="preserve"> policy changes in the future.</w:t>
            </w:r>
          </w:p>
          <w:p w14:paraId="34558491" w14:textId="77777777" w:rsidR="009359DF" w:rsidRPr="00D57CA0" w:rsidRDefault="009359DF" w:rsidP="00F522AE">
            <w:pPr>
              <w:spacing w:after="0" w:line="276" w:lineRule="auto"/>
              <w:rPr>
                <w:rFonts w:cs="Arial"/>
                <w:szCs w:val="22"/>
              </w:rPr>
            </w:pPr>
          </w:p>
        </w:tc>
      </w:tr>
    </w:tbl>
    <w:p w14:paraId="4B58831F" w14:textId="77777777" w:rsidR="00765467" w:rsidRDefault="00765467" w:rsidP="006F1EFF">
      <w:pPr>
        <w:pStyle w:val="Heading2"/>
      </w:pPr>
    </w:p>
    <w:p w14:paraId="1DAB0ED6" w14:textId="77777777" w:rsidR="00BE4A62" w:rsidRPr="00030EC1" w:rsidRDefault="00E92509" w:rsidP="006F1EFF">
      <w:pPr>
        <w:pStyle w:val="Heading2"/>
      </w:pPr>
      <w:r w:rsidRPr="002D5734">
        <w:t xml:space="preserve">Section </w:t>
      </w:r>
      <w:r w:rsidR="00C77099">
        <w:t>4</w:t>
      </w:r>
      <w:r w:rsidRPr="002D5734">
        <w:t xml:space="preserve">:  </w:t>
      </w:r>
      <w:r w:rsidR="00A33BA0" w:rsidRPr="002D5734">
        <w:t>Impact Analysis</w:t>
      </w:r>
      <w:r w:rsidR="005D5BF0" w:rsidRPr="002D5734">
        <w:t xml:space="preserve"> (</w:t>
      </w:r>
      <w:r w:rsidR="00C77099">
        <w:t>Proposed approach</w:t>
      </w:r>
      <w:r w:rsidR="005D5BF0" w:rsidRPr="002D573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D5BF0" w:rsidRPr="0069218C" w14:paraId="2731F9E5" w14:textId="77777777" w:rsidTr="006D3130">
        <w:trPr>
          <w:trHeight w:val="77"/>
        </w:trPr>
        <w:tc>
          <w:tcPr>
            <w:tcW w:w="5000" w:type="pct"/>
            <w:tcBorders>
              <w:bottom w:val="single" w:sz="4" w:space="0" w:color="auto"/>
            </w:tcBorders>
            <w:shd w:val="clear" w:color="auto" w:fill="99CDDD"/>
            <w:hideMark/>
          </w:tcPr>
          <w:p w14:paraId="4664E1A9" w14:textId="77777777" w:rsidR="005D5BF0" w:rsidRPr="0069218C" w:rsidRDefault="00D9793F" w:rsidP="00800DEC">
            <w:pPr>
              <w:pStyle w:val="TableHeadings"/>
              <w:rPr>
                <w:color w:val="002469"/>
                <w:szCs w:val="22"/>
                <w:lang w:val="en-NZ"/>
              </w:rPr>
            </w:pPr>
            <w:r w:rsidRPr="00886DFF">
              <w:rPr>
                <w:szCs w:val="22"/>
                <w:lang w:val="en-NZ"/>
              </w:rPr>
              <w:t>4</w:t>
            </w:r>
            <w:r w:rsidR="005D5BF0" w:rsidRPr="00886DFF">
              <w:rPr>
                <w:szCs w:val="22"/>
                <w:lang w:val="en-NZ"/>
              </w:rPr>
              <w:t>.</w:t>
            </w:r>
            <w:r w:rsidR="00C77099" w:rsidRPr="00886DFF">
              <w:rPr>
                <w:szCs w:val="22"/>
                <w:lang w:val="en-NZ"/>
              </w:rPr>
              <w:t>1</w:t>
            </w:r>
            <w:r w:rsidR="005D5BF0" w:rsidRPr="00886DFF">
              <w:rPr>
                <w:szCs w:val="22"/>
                <w:lang w:val="en-NZ"/>
              </w:rPr>
              <w:t xml:space="preserve">   Summary </w:t>
            </w:r>
            <w:r w:rsidR="005D5BF0" w:rsidRPr="00886DFF">
              <w:rPr>
                <w:szCs w:val="22"/>
              </w:rPr>
              <w:t>table</w:t>
            </w:r>
            <w:r w:rsidR="005D5BF0" w:rsidRPr="00886DFF">
              <w:rPr>
                <w:szCs w:val="22"/>
                <w:lang w:val="en-NZ"/>
              </w:rPr>
              <w:t xml:space="preserve"> of costs and benefits</w:t>
            </w:r>
          </w:p>
        </w:tc>
      </w:tr>
    </w:tbl>
    <w:p w14:paraId="434C9671" w14:textId="77777777" w:rsidR="00E54A75" w:rsidRPr="00B3036A" w:rsidRDefault="00E54A75" w:rsidP="00A7346F">
      <w:pPr>
        <w:spacing w:after="0"/>
      </w:pPr>
    </w:p>
    <w:tbl>
      <w:tblPr>
        <w:tblpPr w:leftFromText="180" w:rightFromText="180" w:vertAnchor="text" w:tblpX="6" w:tblpY="1"/>
        <w:tblOverlap w:val="never"/>
        <w:tblW w:w="906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4252"/>
        <w:gridCol w:w="2835"/>
      </w:tblGrid>
      <w:tr w:rsidR="00380585" w:rsidRPr="0069218C" w14:paraId="7966F246" w14:textId="77777777" w:rsidTr="00030EC1">
        <w:trPr>
          <w:trHeight w:val="732"/>
        </w:trPr>
        <w:tc>
          <w:tcPr>
            <w:tcW w:w="1982" w:type="dxa"/>
            <w:tcBorders>
              <w:top w:val="single" w:sz="2" w:space="0" w:color="auto"/>
              <w:left w:val="single" w:sz="2" w:space="0" w:color="auto"/>
              <w:bottom w:val="single" w:sz="2" w:space="0" w:color="auto"/>
              <w:right w:val="single" w:sz="2" w:space="0" w:color="auto"/>
            </w:tcBorders>
            <w:shd w:val="clear" w:color="auto" w:fill="80C0D5"/>
          </w:tcPr>
          <w:p w14:paraId="6C343521" w14:textId="77777777" w:rsidR="00380585" w:rsidRPr="00886DFF" w:rsidRDefault="00380585" w:rsidP="00784C66">
            <w:pPr>
              <w:pStyle w:val="TableText"/>
              <w:keepNext/>
              <w:rPr>
                <w:rFonts w:eastAsia="Calibri"/>
                <w:color w:val="000000"/>
                <w:sz w:val="22"/>
              </w:rPr>
            </w:pPr>
            <w:r w:rsidRPr="00886DFF">
              <w:rPr>
                <w:rFonts w:eastAsia="Calibri"/>
                <w:b/>
                <w:color w:val="000000"/>
                <w:sz w:val="22"/>
              </w:rPr>
              <w:t>Affected parties</w:t>
            </w:r>
            <w:r w:rsidRPr="00886DFF">
              <w:rPr>
                <w:rFonts w:eastAsia="Calibri"/>
                <w:color w:val="000000"/>
                <w:sz w:val="22"/>
              </w:rPr>
              <w:t xml:space="preserve"> </w:t>
            </w:r>
            <w:r w:rsidRPr="00886DFF">
              <w:rPr>
                <w:rFonts w:eastAsia="Calibri"/>
                <w:i/>
                <w:color w:val="000000"/>
                <w:sz w:val="22"/>
              </w:rPr>
              <w:t>(identify)</w:t>
            </w:r>
          </w:p>
        </w:tc>
        <w:tc>
          <w:tcPr>
            <w:tcW w:w="4252" w:type="dxa"/>
            <w:tcBorders>
              <w:top w:val="single" w:sz="2" w:space="0" w:color="auto"/>
              <w:left w:val="single" w:sz="2" w:space="0" w:color="auto"/>
              <w:bottom w:val="single" w:sz="2" w:space="0" w:color="auto"/>
              <w:right w:val="single" w:sz="2" w:space="0" w:color="auto"/>
            </w:tcBorders>
            <w:shd w:val="clear" w:color="auto" w:fill="80C0D5"/>
          </w:tcPr>
          <w:p w14:paraId="29E72927" w14:textId="77777777" w:rsidR="00380585" w:rsidRPr="00886DFF" w:rsidRDefault="00380585" w:rsidP="00784C66">
            <w:pPr>
              <w:pStyle w:val="TableText"/>
              <w:keepNext/>
              <w:rPr>
                <w:rFonts w:eastAsia="Calibri"/>
                <w:color w:val="000000"/>
                <w:sz w:val="22"/>
              </w:rPr>
            </w:pPr>
            <w:r w:rsidRPr="00886DFF">
              <w:rPr>
                <w:rFonts w:eastAsia="Calibri"/>
                <w:b/>
                <w:color w:val="000000"/>
                <w:sz w:val="22"/>
              </w:rPr>
              <w:t>Comment</w:t>
            </w:r>
            <w:r w:rsidRPr="00886DFF">
              <w:rPr>
                <w:rFonts w:eastAsia="Calibri"/>
                <w:color w:val="000000"/>
                <w:sz w:val="22"/>
              </w:rPr>
              <w:t>: nature of cost or benefit (</w:t>
            </w:r>
            <w:proofErr w:type="spellStart"/>
            <w:r w:rsidRPr="00886DFF">
              <w:rPr>
                <w:rFonts w:eastAsia="Calibri"/>
                <w:color w:val="000000"/>
                <w:sz w:val="22"/>
              </w:rPr>
              <w:t>eg</w:t>
            </w:r>
            <w:proofErr w:type="spellEnd"/>
            <w:r w:rsidRPr="00886DFF">
              <w:rPr>
                <w:rFonts w:eastAsia="Calibri"/>
                <w:color w:val="000000"/>
                <w:sz w:val="22"/>
              </w:rPr>
              <w:t xml:space="preserve"> ongoing, one-off), evidence and assumption (</w:t>
            </w:r>
            <w:proofErr w:type="spellStart"/>
            <w:r w:rsidRPr="00886DFF">
              <w:rPr>
                <w:rFonts w:eastAsia="Calibri"/>
                <w:color w:val="000000"/>
                <w:sz w:val="22"/>
              </w:rPr>
              <w:t>eg</w:t>
            </w:r>
            <w:proofErr w:type="spellEnd"/>
            <w:r w:rsidRPr="00886DFF">
              <w:rPr>
                <w:rFonts w:eastAsia="Calibri"/>
                <w:color w:val="000000"/>
                <w:sz w:val="22"/>
              </w:rPr>
              <w:t xml:space="preserve"> compliance rates), risks</w:t>
            </w:r>
          </w:p>
        </w:tc>
        <w:tc>
          <w:tcPr>
            <w:tcW w:w="2835" w:type="dxa"/>
            <w:tcBorders>
              <w:top w:val="single" w:sz="2" w:space="0" w:color="auto"/>
              <w:left w:val="single" w:sz="2" w:space="0" w:color="auto"/>
              <w:bottom w:val="single" w:sz="2" w:space="0" w:color="auto"/>
              <w:right w:val="single" w:sz="2" w:space="0" w:color="auto"/>
            </w:tcBorders>
            <w:shd w:val="clear" w:color="auto" w:fill="80C0D5"/>
          </w:tcPr>
          <w:p w14:paraId="242281E1" w14:textId="77777777" w:rsidR="00380585" w:rsidRPr="00886DFF" w:rsidRDefault="00380585" w:rsidP="00784C66">
            <w:pPr>
              <w:pStyle w:val="TableText"/>
              <w:keepNext/>
              <w:rPr>
                <w:rFonts w:eastAsia="Calibri"/>
                <w:b/>
                <w:color w:val="000000"/>
                <w:sz w:val="22"/>
              </w:rPr>
            </w:pPr>
            <w:r w:rsidRPr="00886DFF">
              <w:rPr>
                <w:rFonts w:eastAsia="Calibri"/>
                <w:b/>
                <w:color w:val="000000"/>
                <w:sz w:val="22"/>
              </w:rPr>
              <w:t>Impact</w:t>
            </w:r>
          </w:p>
          <w:p w14:paraId="5ADD5DDE" w14:textId="77777777" w:rsidR="00380585" w:rsidRPr="00886DFF" w:rsidRDefault="00380585" w:rsidP="00784C66">
            <w:pPr>
              <w:pStyle w:val="TableText"/>
              <w:keepNext/>
              <w:rPr>
                <w:rFonts w:eastAsia="Calibri"/>
                <w:i/>
                <w:color w:val="000000"/>
                <w:sz w:val="22"/>
              </w:rPr>
            </w:pPr>
            <w:r w:rsidRPr="00886DFF">
              <w:rPr>
                <w:rFonts w:eastAsia="Calibri"/>
                <w:i/>
                <w:color w:val="000000"/>
                <w:sz w:val="22"/>
              </w:rPr>
              <w:t xml:space="preserve">$m present value, for monetised impacts; high, medium or low for non-monetised impacts  </w:t>
            </w:r>
          </w:p>
        </w:tc>
      </w:tr>
      <w:tr w:rsidR="00380585" w:rsidRPr="0069218C" w14:paraId="4F66276C" w14:textId="77777777" w:rsidTr="00567434">
        <w:trPr>
          <w:trHeight w:val="197"/>
        </w:trPr>
        <w:tc>
          <w:tcPr>
            <w:tcW w:w="9069" w:type="dxa"/>
            <w:gridSpan w:val="3"/>
            <w:tcBorders>
              <w:top w:val="single" w:sz="2" w:space="0" w:color="auto"/>
              <w:bottom w:val="single" w:sz="2" w:space="0" w:color="auto"/>
            </w:tcBorders>
          </w:tcPr>
          <w:p w14:paraId="7D696575" w14:textId="77777777" w:rsidR="00380585" w:rsidRPr="00567434" w:rsidRDefault="00380585" w:rsidP="00567434">
            <w:pPr>
              <w:pStyle w:val="spacer"/>
              <w:rPr>
                <w:rFonts w:eastAsia="Calibri"/>
              </w:rPr>
            </w:pPr>
          </w:p>
        </w:tc>
      </w:tr>
      <w:tr w:rsidR="00380585" w:rsidRPr="0069218C" w14:paraId="21A36F8A" w14:textId="77777777" w:rsidTr="00030EC1">
        <w:trPr>
          <w:trHeight w:val="253"/>
        </w:trPr>
        <w:tc>
          <w:tcPr>
            <w:tcW w:w="9069" w:type="dxa"/>
            <w:gridSpan w:val="3"/>
            <w:tcBorders>
              <w:top w:val="single" w:sz="2" w:space="0" w:color="auto"/>
              <w:left w:val="single" w:sz="2" w:space="0" w:color="auto"/>
              <w:bottom w:val="single" w:sz="2" w:space="0" w:color="auto"/>
              <w:right w:val="single" w:sz="2" w:space="0" w:color="auto"/>
            </w:tcBorders>
            <w:shd w:val="clear" w:color="auto" w:fill="80C0D5"/>
          </w:tcPr>
          <w:p w14:paraId="1D03460F" w14:textId="77777777" w:rsidR="00380585" w:rsidRPr="0069218C" w:rsidRDefault="00380585" w:rsidP="00784C66">
            <w:pPr>
              <w:keepNext/>
              <w:spacing w:before="40" w:after="20" w:line="240" w:lineRule="auto"/>
              <w:rPr>
                <w:rFonts w:ascii="Arial Narrow" w:eastAsia="Calibri" w:hAnsi="Arial Narrow"/>
                <w:szCs w:val="22"/>
              </w:rPr>
            </w:pPr>
            <w:proofErr w:type="gramStart"/>
            <w:r w:rsidRPr="00886DFF">
              <w:rPr>
                <w:rFonts w:eastAsia="Calibri"/>
                <w:color w:val="000000"/>
                <w:szCs w:val="22"/>
              </w:rPr>
              <w:t>Additional costs of proposed approach,</w:t>
            </w:r>
            <w:proofErr w:type="gramEnd"/>
            <w:r w:rsidRPr="00886DFF">
              <w:rPr>
                <w:rFonts w:eastAsia="Calibri"/>
                <w:color w:val="000000"/>
                <w:szCs w:val="22"/>
              </w:rPr>
              <w:t xml:space="preserve"> compared to taking no action</w:t>
            </w:r>
          </w:p>
        </w:tc>
      </w:tr>
      <w:tr w:rsidR="00380585" w:rsidRPr="0069218C" w14:paraId="117BCF3F"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15FABC8E" w14:textId="77777777" w:rsidR="00380585" w:rsidRPr="0069218C" w:rsidRDefault="00380585" w:rsidP="00784C66">
            <w:pPr>
              <w:pStyle w:val="TableText"/>
              <w:keepNext/>
              <w:rPr>
                <w:rFonts w:eastAsia="Calibri"/>
                <w:sz w:val="22"/>
              </w:rPr>
            </w:pPr>
            <w:r w:rsidRPr="0069218C">
              <w:rPr>
                <w:rFonts w:eastAsia="Calibri"/>
                <w:sz w:val="22"/>
              </w:rPr>
              <w:lastRenderedPageBreak/>
              <w:t>Regulated parties</w:t>
            </w:r>
            <w:r w:rsidR="001806DF">
              <w:rPr>
                <w:rFonts w:eastAsia="Calibri"/>
                <w:sz w:val="22"/>
              </w:rPr>
              <w:t xml:space="preserve"> (</w:t>
            </w:r>
            <w:r w:rsidR="0052297B" w:rsidRPr="0052297B">
              <w:rPr>
                <w:rFonts w:eastAsia="Calibri"/>
                <w:i/>
                <w:sz w:val="22"/>
              </w:rPr>
              <w:t xml:space="preserve">affected </w:t>
            </w:r>
            <w:r w:rsidR="0060353C" w:rsidRPr="001806DF">
              <w:rPr>
                <w:rFonts w:eastAsia="Calibri"/>
                <w:i/>
                <w:sz w:val="22"/>
              </w:rPr>
              <w:t>borrowers</w:t>
            </w:r>
            <w:r w:rsidR="001806DF">
              <w:rPr>
                <w:rFonts w:eastAsia="Calibri"/>
                <w:i/>
                <w:sz w:val="22"/>
              </w:rPr>
              <w:t>)</w:t>
            </w:r>
            <w:r w:rsidR="008F09CB">
              <w:rPr>
                <w:rStyle w:val="FootnoteReference"/>
                <w:rFonts w:eastAsia="Calibri"/>
                <w:i/>
              </w:rPr>
              <w:footnoteReference w:id="1"/>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4F2048A2" w14:textId="507E4CCC" w:rsidR="00380585" w:rsidRDefault="00FD2F7C" w:rsidP="009359DF">
            <w:pPr>
              <w:pStyle w:val="TableText"/>
              <w:keepNext/>
              <w:rPr>
                <w:rFonts w:eastAsia="Calibri"/>
                <w:sz w:val="22"/>
              </w:rPr>
            </w:pPr>
            <w:r>
              <w:rPr>
                <w:rFonts w:eastAsia="Calibri"/>
                <w:sz w:val="22"/>
              </w:rPr>
              <w:t xml:space="preserve">The cost to borrowers in reduced accuracy of </w:t>
            </w:r>
            <w:r w:rsidR="00AA7962">
              <w:rPr>
                <w:rFonts w:eastAsia="Calibri"/>
                <w:sz w:val="22"/>
              </w:rPr>
              <w:t xml:space="preserve">prior years’ </w:t>
            </w:r>
            <w:r w:rsidR="001E1550">
              <w:rPr>
                <w:rFonts w:eastAsia="Calibri"/>
                <w:sz w:val="22"/>
              </w:rPr>
              <w:t>obligations</w:t>
            </w:r>
            <w:r w:rsidR="00CD0744">
              <w:rPr>
                <w:rFonts w:eastAsia="Calibri"/>
                <w:sz w:val="22"/>
              </w:rPr>
              <w:t xml:space="preserve"> </w:t>
            </w:r>
            <w:r w:rsidR="001806DF">
              <w:rPr>
                <w:rFonts w:eastAsia="Calibri"/>
                <w:sz w:val="22"/>
              </w:rPr>
              <w:t>may</w:t>
            </w:r>
            <w:r w:rsidR="00CD0744">
              <w:rPr>
                <w:rFonts w:eastAsia="Calibri"/>
                <w:sz w:val="22"/>
              </w:rPr>
              <w:t xml:space="preserve"> </w:t>
            </w:r>
            <w:r w:rsidR="001806DF">
              <w:rPr>
                <w:rFonts w:eastAsia="Calibri"/>
                <w:sz w:val="22"/>
              </w:rPr>
              <w:t xml:space="preserve">increase </w:t>
            </w:r>
            <w:r w:rsidR="005B6570">
              <w:rPr>
                <w:rFonts w:eastAsia="Calibri"/>
                <w:sz w:val="22"/>
              </w:rPr>
              <w:t xml:space="preserve">or </w:t>
            </w:r>
            <w:r w:rsidR="007F37A5">
              <w:rPr>
                <w:rFonts w:eastAsia="Calibri"/>
                <w:sz w:val="22"/>
              </w:rPr>
              <w:t>decrease</w:t>
            </w:r>
            <w:r w:rsidR="005B6570">
              <w:rPr>
                <w:rFonts w:eastAsia="Calibri"/>
                <w:sz w:val="22"/>
              </w:rPr>
              <w:t xml:space="preserve"> </w:t>
            </w:r>
            <w:r w:rsidR="009359DF">
              <w:rPr>
                <w:rFonts w:eastAsia="Calibri"/>
                <w:sz w:val="22"/>
              </w:rPr>
              <w:t>a borrower</w:t>
            </w:r>
            <w:r w:rsidR="00C10BF7">
              <w:rPr>
                <w:rFonts w:eastAsia="Calibri"/>
                <w:sz w:val="22"/>
              </w:rPr>
              <w:t>’</w:t>
            </w:r>
            <w:r w:rsidR="009359DF">
              <w:rPr>
                <w:rFonts w:eastAsia="Calibri"/>
                <w:sz w:val="22"/>
              </w:rPr>
              <w:t xml:space="preserve">s repayment liability and reduce or increase the </w:t>
            </w:r>
            <w:r w:rsidR="00CD0744">
              <w:rPr>
                <w:rFonts w:eastAsia="Calibri"/>
                <w:sz w:val="22"/>
              </w:rPr>
              <w:t>time period to repay the loan</w:t>
            </w:r>
            <w:r w:rsidR="009359DF">
              <w:rPr>
                <w:rFonts w:eastAsia="Calibri"/>
                <w:sz w:val="22"/>
              </w:rPr>
              <w:t xml:space="preserve"> accordingly</w:t>
            </w:r>
            <w:r w:rsidR="00586B07">
              <w:rPr>
                <w:rFonts w:eastAsia="Calibri"/>
                <w:sz w:val="22"/>
              </w:rPr>
              <w:t xml:space="preserve">. </w:t>
            </w:r>
            <w:r w:rsidR="005214DC">
              <w:rPr>
                <w:rFonts w:eastAsia="Calibri"/>
                <w:sz w:val="22"/>
              </w:rPr>
              <w:t xml:space="preserve">Changes to repayment obligations </w:t>
            </w:r>
            <w:r w:rsidR="0055363A">
              <w:rPr>
                <w:rFonts w:eastAsia="Calibri"/>
                <w:sz w:val="22"/>
              </w:rPr>
              <w:t>by Inland Revenue would tend to increase a borrower’s repayment liability.</w:t>
            </w:r>
          </w:p>
          <w:p w14:paraId="248F5FC5" w14:textId="77777777" w:rsidR="000C7BDD" w:rsidRDefault="000C7BDD" w:rsidP="009359DF">
            <w:pPr>
              <w:pStyle w:val="TableText"/>
              <w:keepNext/>
              <w:rPr>
                <w:rFonts w:eastAsia="Calibri"/>
                <w:sz w:val="22"/>
              </w:rPr>
            </w:pPr>
          </w:p>
          <w:p w14:paraId="2B59D824" w14:textId="3A0DFD0A" w:rsidR="000C7BDD" w:rsidRPr="0069218C" w:rsidRDefault="000C7BDD" w:rsidP="009359DF">
            <w:pPr>
              <w:pStyle w:val="TableText"/>
              <w:keepNext/>
              <w:rPr>
                <w:rFonts w:eastAsia="Calibri"/>
                <w:sz w:val="22"/>
              </w:rPr>
            </w:pPr>
            <w:r>
              <w:rPr>
                <w:rFonts w:eastAsia="Calibri"/>
                <w:sz w:val="22"/>
              </w:rPr>
              <w:t>Borrowers not being able to receive the voluntary repayment that they may have been entitled to prior to this change (</w:t>
            </w:r>
            <w:r w:rsidR="00A279AA">
              <w:rPr>
                <w:rFonts w:eastAsia="Calibri"/>
                <w:sz w:val="22"/>
              </w:rPr>
              <w:t>pre-April 2020</w:t>
            </w:r>
            <w:r>
              <w:rPr>
                <w:rFonts w:eastAsia="Calibri"/>
                <w:sz w:val="22"/>
              </w:rPr>
              <w:t>).</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30C5B32C" w14:textId="77777777" w:rsidR="00380585" w:rsidRDefault="00CD0744" w:rsidP="00CE7CF5">
            <w:pPr>
              <w:pStyle w:val="TableText"/>
              <w:keepNext/>
              <w:rPr>
                <w:rFonts w:eastAsia="Calibri"/>
                <w:sz w:val="22"/>
              </w:rPr>
            </w:pPr>
            <w:r>
              <w:rPr>
                <w:rFonts w:eastAsia="Calibri"/>
                <w:sz w:val="22"/>
              </w:rPr>
              <w:t xml:space="preserve">The extent of the impact </w:t>
            </w:r>
            <w:r w:rsidR="007F37A5">
              <w:rPr>
                <w:rFonts w:eastAsia="Calibri"/>
                <w:sz w:val="22"/>
              </w:rPr>
              <w:t xml:space="preserve">is dependent </w:t>
            </w:r>
            <w:r>
              <w:rPr>
                <w:rFonts w:eastAsia="Calibri"/>
                <w:sz w:val="22"/>
              </w:rPr>
              <w:t xml:space="preserve">on the </w:t>
            </w:r>
            <w:r w:rsidR="007F37A5">
              <w:rPr>
                <w:rFonts w:eastAsia="Calibri"/>
                <w:sz w:val="22"/>
              </w:rPr>
              <w:t xml:space="preserve">amount of the </w:t>
            </w:r>
            <w:r>
              <w:rPr>
                <w:rFonts w:eastAsia="Calibri"/>
                <w:sz w:val="22"/>
              </w:rPr>
              <w:t xml:space="preserve">assessed obligation, but </w:t>
            </w:r>
            <w:r w:rsidR="00CE7CF5">
              <w:rPr>
                <w:rFonts w:eastAsia="Calibri"/>
                <w:sz w:val="22"/>
              </w:rPr>
              <w:t>any impact</w:t>
            </w:r>
            <w:r w:rsidR="00AA7962">
              <w:rPr>
                <w:rFonts w:eastAsia="Calibri"/>
                <w:sz w:val="22"/>
              </w:rPr>
              <w:t xml:space="preserve"> </w:t>
            </w:r>
            <w:r>
              <w:rPr>
                <w:rFonts w:eastAsia="Calibri"/>
                <w:sz w:val="22"/>
              </w:rPr>
              <w:t xml:space="preserve">on </w:t>
            </w:r>
            <w:r w:rsidR="00CE7CF5">
              <w:rPr>
                <w:rFonts w:eastAsia="Calibri"/>
                <w:sz w:val="22"/>
              </w:rPr>
              <w:t>a borrower’s</w:t>
            </w:r>
            <w:r>
              <w:rPr>
                <w:rFonts w:eastAsia="Calibri"/>
                <w:sz w:val="22"/>
              </w:rPr>
              <w:t xml:space="preserve"> repayment time period</w:t>
            </w:r>
            <w:r w:rsidR="00AA7962">
              <w:rPr>
                <w:rFonts w:eastAsia="Calibri"/>
                <w:sz w:val="22"/>
              </w:rPr>
              <w:t xml:space="preserve"> is expected to be low</w:t>
            </w:r>
            <w:r>
              <w:rPr>
                <w:rFonts w:eastAsia="Calibri"/>
                <w:sz w:val="22"/>
              </w:rPr>
              <w:t>.</w:t>
            </w:r>
          </w:p>
          <w:p w14:paraId="2B776D83" w14:textId="77777777" w:rsidR="000C7BDD" w:rsidRDefault="000C7BDD" w:rsidP="00CE7CF5">
            <w:pPr>
              <w:pStyle w:val="TableText"/>
              <w:keepNext/>
              <w:rPr>
                <w:rFonts w:eastAsia="Calibri"/>
                <w:sz w:val="22"/>
              </w:rPr>
            </w:pPr>
          </w:p>
          <w:p w14:paraId="1FB0FBDB" w14:textId="77777777" w:rsidR="000C7BDD" w:rsidRDefault="000C7BDD" w:rsidP="00CE7CF5">
            <w:pPr>
              <w:pStyle w:val="TableText"/>
              <w:keepNext/>
              <w:rPr>
                <w:rFonts w:eastAsia="Calibri"/>
                <w:sz w:val="22"/>
              </w:rPr>
            </w:pPr>
          </w:p>
          <w:p w14:paraId="63BABC0D" w14:textId="77777777" w:rsidR="000C7BDD" w:rsidRDefault="000C7BDD" w:rsidP="00CE7CF5">
            <w:pPr>
              <w:pStyle w:val="TableText"/>
              <w:keepNext/>
              <w:rPr>
                <w:rFonts w:eastAsia="Calibri"/>
                <w:sz w:val="22"/>
              </w:rPr>
            </w:pPr>
          </w:p>
          <w:p w14:paraId="0DCD211B" w14:textId="77777777" w:rsidR="000C7BDD" w:rsidRPr="0069218C" w:rsidRDefault="000C7BDD" w:rsidP="00CE7CF5">
            <w:pPr>
              <w:pStyle w:val="TableText"/>
              <w:keepNext/>
              <w:rPr>
                <w:rFonts w:eastAsia="Calibri"/>
                <w:sz w:val="22"/>
              </w:rPr>
            </w:pPr>
            <w:r>
              <w:rPr>
                <w:rFonts w:eastAsia="Calibri"/>
                <w:sz w:val="22"/>
              </w:rPr>
              <w:t>Low</w:t>
            </w:r>
          </w:p>
        </w:tc>
      </w:tr>
      <w:tr w:rsidR="00380585" w:rsidRPr="0069218C" w14:paraId="7ADCFFEA"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55CA4D79" w14:textId="77777777" w:rsidR="001806DF" w:rsidRDefault="00380585" w:rsidP="00784C66">
            <w:pPr>
              <w:pStyle w:val="TableText"/>
              <w:keepNext/>
              <w:rPr>
                <w:rFonts w:eastAsia="Calibri"/>
                <w:color w:val="000000"/>
                <w:sz w:val="22"/>
              </w:rPr>
            </w:pPr>
            <w:r w:rsidRPr="0069218C">
              <w:rPr>
                <w:rFonts w:eastAsia="Calibri"/>
                <w:color w:val="000000"/>
                <w:sz w:val="22"/>
              </w:rPr>
              <w:t>Regulators</w:t>
            </w:r>
            <w:r w:rsidR="001806DF">
              <w:rPr>
                <w:rFonts w:eastAsia="Calibri"/>
                <w:color w:val="000000"/>
                <w:sz w:val="22"/>
              </w:rPr>
              <w:t xml:space="preserve"> </w:t>
            </w:r>
          </w:p>
          <w:p w14:paraId="4D0AED87" w14:textId="77777777" w:rsidR="00380585" w:rsidRPr="0069218C" w:rsidRDefault="001806DF" w:rsidP="00784C66">
            <w:pPr>
              <w:pStyle w:val="TableText"/>
              <w:keepNext/>
              <w:rPr>
                <w:rFonts w:eastAsia="Calibri" w:cs="Arial"/>
                <w:color w:val="000000"/>
                <w:sz w:val="22"/>
              </w:rPr>
            </w:pPr>
            <w:r>
              <w:rPr>
                <w:rFonts w:eastAsia="Calibri"/>
                <w:color w:val="000000"/>
                <w:sz w:val="22"/>
              </w:rPr>
              <w:t>(</w:t>
            </w:r>
            <w:r w:rsidR="0060353C" w:rsidRPr="001806DF">
              <w:rPr>
                <w:rFonts w:eastAsia="Calibri"/>
                <w:i/>
                <w:color w:val="000000"/>
                <w:sz w:val="22"/>
              </w:rPr>
              <w:t>Inland Revenue</w:t>
            </w:r>
            <w:r>
              <w:rPr>
                <w:rFonts w:eastAsia="Calibri"/>
                <w:i/>
                <w:color w:val="000000"/>
                <w:sz w:val="22"/>
              </w:rPr>
              <w: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7473454" w14:textId="77777777" w:rsidR="00380585" w:rsidRPr="0069218C" w:rsidRDefault="00AA7962" w:rsidP="00784C66">
            <w:pPr>
              <w:pStyle w:val="TableText"/>
              <w:keepNext/>
              <w:rPr>
                <w:rFonts w:eastAsia="Calibri"/>
                <w:sz w:val="22"/>
              </w:rPr>
            </w:pPr>
            <w:r>
              <w:rPr>
                <w:rFonts w:eastAsia="Calibri"/>
                <w:sz w:val="22"/>
              </w:rPr>
              <w:t>N</w:t>
            </w:r>
            <w:r w:rsidR="00F94B71">
              <w:rPr>
                <w:rFonts w:eastAsia="Calibri"/>
                <w:sz w:val="22"/>
              </w:rPr>
              <w:t>one</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41AF3DA7" w14:textId="77777777" w:rsidR="00380585" w:rsidRPr="0069218C" w:rsidRDefault="00AA7962" w:rsidP="00784C66">
            <w:pPr>
              <w:pStyle w:val="TableText"/>
              <w:keepNext/>
              <w:rPr>
                <w:rFonts w:eastAsia="Calibri"/>
                <w:sz w:val="22"/>
              </w:rPr>
            </w:pPr>
            <w:r>
              <w:rPr>
                <w:rFonts w:eastAsia="Calibri"/>
                <w:sz w:val="22"/>
              </w:rPr>
              <w:t>N</w:t>
            </w:r>
            <w:r w:rsidR="00F94B71">
              <w:rPr>
                <w:rFonts w:eastAsia="Calibri"/>
                <w:sz w:val="22"/>
              </w:rPr>
              <w:t>one</w:t>
            </w:r>
          </w:p>
        </w:tc>
      </w:tr>
      <w:tr w:rsidR="00380585" w:rsidRPr="0069218C" w14:paraId="3AD2267B"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B52A275" w14:textId="77777777" w:rsidR="00380585" w:rsidRPr="0069218C" w:rsidRDefault="00380585" w:rsidP="00784C66">
            <w:pPr>
              <w:pStyle w:val="TableText"/>
              <w:keepNext/>
              <w:rPr>
                <w:rFonts w:eastAsia="Calibri"/>
                <w:color w:val="000000"/>
                <w:sz w:val="22"/>
              </w:rPr>
            </w:pPr>
            <w:r w:rsidRPr="0069218C">
              <w:rPr>
                <w:rFonts w:eastAsia="Calibri"/>
                <w:color w:val="000000"/>
                <w:sz w:val="22"/>
              </w:rPr>
              <w:t>Wider government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7C2F0C16" w14:textId="77777777" w:rsidR="00380585" w:rsidRPr="0002661A" w:rsidRDefault="003529BA" w:rsidP="00784C66">
            <w:pPr>
              <w:pStyle w:val="TableText"/>
              <w:keepNext/>
              <w:rPr>
                <w:rFonts w:eastAsia="Calibri"/>
                <w:sz w:val="22"/>
              </w:rPr>
            </w:pPr>
            <w:r>
              <w:rPr>
                <w:rFonts w:eastAsia="Calibri"/>
                <w:sz w:val="22"/>
              </w:rPr>
              <w:t>N</w:t>
            </w:r>
            <w:r w:rsidR="00F94B71">
              <w:rPr>
                <w:rFonts w:eastAsia="Calibri"/>
                <w:sz w:val="22"/>
              </w:rPr>
              <w:t>one</w:t>
            </w:r>
          </w:p>
          <w:p w14:paraId="33EFA0ED" w14:textId="77777777" w:rsidR="008172BD" w:rsidRPr="0002661A" w:rsidRDefault="008172BD" w:rsidP="00784C66">
            <w:pPr>
              <w:pStyle w:val="TableText"/>
              <w:keepNext/>
              <w:rPr>
                <w:rFonts w:eastAsia="Calibri"/>
                <w:sz w:val="22"/>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0AFD8489" w14:textId="77777777" w:rsidR="00380585" w:rsidRPr="0069218C" w:rsidRDefault="008172BD" w:rsidP="00784C66">
            <w:pPr>
              <w:pStyle w:val="TableText"/>
              <w:keepNext/>
              <w:rPr>
                <w:rFonts w:eastAsia="Calibri"/>
                <w:sz w:val="22"/>
              </w:rPr>
            </w:pPr>
            <w:r>
              <w:rPr>
                <w:rFonts w:eastAsia="Calibri"/>
                <w:sz w:val="22"/>
              </w:rPr>
              <w:t>N</w:t>
            </w:r>
            <w:r w:rsidR="00F94B71">
              <w:rPr>
                <w:rFonts w:eastAsia="Calibri"/>
                <w:sz w:val="22"/>
              </w:rPr>
              <w:t>one</w:t>
            </w:r>
          </w:p>
        </w:tc>
      </w:tr>
      <w:tr w:rsidR="00380585" w:rsidRPr="0069218C" w14:paraId="1ECCCBF6"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2B1B04B1" w14:textId="77777777" w:rsidR="00380585" w:rsidRPr="0069218C" w:rsidRDefault="00380585" w:rsidP="00784C66">
            <w:pPr>
              <w:pStyle w:val="TableText"/>
              <w:keepNext/>
              <w:rPr>
                <w:rFonts w:eastAsia="Calibri" w:cs="Arial"/>
                <w:color w:val="000000"/>
                <w:sz w:val="22"/>
              </w:rPr>
            </w:pPr>
            <w:r w:rsidRPr="0069218C">
              <w:rPr>
                <w:rFonts w:eastAsia="Calibri"/>
                <w:color w:val="000000"/>
                <w:sz w:val="22"/>
              </w:rPr>
              <w:t xml:space="preserve">Other parties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468FC322" w14:textId="77777777" w:rsidR="00380585" w:rsidRPr="0069218C" w:rsidRDefault="008172BD" w:rsidP="00784C66">
            <w:pPr>
              <w:pStyle w:val="TableText"/>
              <w:keepNext/>
              <w:rPr>
                <w:rFonts w:eastAsia="Calibri"/>
                <w:sz w:val="22"/>
              </w:rPr>
            </w:pPr>
            <w:r>
              <w:rPr>
                <w:rFonts w:eastAsia="Calibri"/>
                <w:sz w:val="22"/>
              </w:rPr>
              <w:t>No</w:t>
            </w:r>
            <w:r w:rsidR="00F94B71">
              <w:rPr>
                <w:rFonts w:eastAsia="Calibri"/>
                <w:sz w:val="22"/>
              </w:rPr>
              <w:t>ne</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143DB81C" w14:textId="77777777" w:rsidR="00380585" w:rsidRPr="0069218C" w:rsidRDefault="008172BD" w:rsidP="00784C66">
            <w:pPr>
              <w:pStyle w:val="TableText"/>
              <w:keepNext/>
              <w:rPr>
                <w:rFonts w:eastAsia="Calibri"/>
                <w:sz w:val="22"/>
              </w:rPr>
            </w:pPr>
            <w:r>
              <w:rPr>
                <w:rFonts w:eastAsia="Calibri"/>
                <w:sz w:val="22"/>
              </w:rPr>
              <w:t>No</w:t>
            </w:r>
            <w:r w:rsidR="00F94B71">
              <w:rPr>
                <w:rFonts w:eastAsia="Calibri"/>
                <w:sz w:val="22"/>
              </w:rPr>
              <w:t>ne</w:t>
            </w:r>
          </w:p>
        </w:tc>
      </w:tr>
      <w:tr w:rsidR="00380585" w:rsidRPr="0069218C" w14:paraId="2F899CB3"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31B96247" w14:textId="77777777" w:rsidR="00380585" w:rsidRPr="0069218C" w:rsidRDefault="00380585" w:rsidP="00784C66">
            <w:pPr>
              <w:pStyle w:val="TableText"/>
              <w:keepNext/>
              <w:rPr>
                <w:rFonts w:eastAsia="Calibri"/>
                <w:b/>
                <w:sz w:val="22"/>
              </w:rPr>
            </w:pPr>
            <w:r w:rsidRPr="0069218C">
              <w:rPr>
                <w:rFonts w:eastAsia="Calibri"/>
                <w:b/>
                <w:sz w:val="22"/>
              </w:rPr>
              <w:t>Total Monetised Cost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2FFC0354" w14:textId="77777777" w:rsidR="00380585" w:rsidRPr="005D20D1" w:rsidRDefault="0055363A" w:rsidP="00784C66">
            <w:pPr>
              <w:pStyle w:val="TableText"/>
              <w:keepNext/>
              <w:rPr>
                <w:rFonts w:eastAsia="Calibri"/>
                <w:sz w:val="22"/>
              </w:rPr>
            </w:pPr>
            <w:r>
              <w:rPr>
                <w:rFonts w:eastAsia="Calibri"/>
                <w:sz w:val="22"/>
              </w:rPr>
              <w:t>Financial impact for borrowers</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72187691" w14:textId="77777777" w:rsidR="00380585" w:rsidRPr="0069218C" w:rsidRDefault="0055363A" w:rsidP="00784C66">
            <w:pPr>
              <w:pStyle w:val="TableText"/>
              <w:keepNext/>
              <w:rPr>
                <w:rFonts w:eastAsia="Calibri"/>
                <w:sz w:val="22"/>
              </w:rPr>
            </w:pPr>
            <w:r>
              <w:rPr>
                <w:rFonts w:eastAsia="Calibri"/>
                <w:sz w:val="22"/>
              </w:rPr>
              <w:t>Borrower</w:t>
            </w:r>
            <w:r w:rsidR="00F522AE">
              <w:rPr>
                <w:rFonts w:eastAsia="Calibri"/>
                <w:sz w:val="22"/>
              </w:rPr>
              <w:t>s</w:t>
            </w:r>
            <w:r>
              <w:rPr>
                <w:rFonts w:eastAsia="Calibri"/>
                <w:sz w:val="22"/>
              </w:rPr>
              <w:t xml:space="preserve"> face either an increased or </w:t>
            </w:r>
            <w:r w:rsidR="007F37A5">
              <w:rPr>
                <w:rFonts w:eastAsia="Calibri"/>
                <w:sz w:val="22"/>
              </w:rPr>
              <w:t>decreased</w:t>
            </w:r>
            <w:r>
              <w:rPr>
                <w:rFonts w:eastAsia="Calibri"/>
                <w:sz w:val="22"/>
              </w:rPr>
              <w:t xml:space="preserve"> repayment obligation</w:t>
            </w:r>
          </w:p>
        </w:tc>
      </w:tr>
      <w:tr w:rsidR="00380585" w:rsidRPr="0069218C" w14:paraId="49702D9D"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4D4D5AF7" w14:textId="77777777" w:rsidR="00380585" w:rsidRPr="0069218C" w:rsidRDefault="00380585" w:rsidP="00784C66">
            <w:pPr>
              <w:pStyle w:val="TableText"/>
              <w:keepNext/>
              <w:rPr>
                <w:rFonts w:eastAsia="Calibri"/>
                <w:b/>
                <w:sz w:val="22"/>
              </w:rPr>
            </w:pPr>
            <w:r w:rsidRPr="0069218C">
              <w:rPr>
                <w:rFonts w:eastAsia="Calibri"/>
                <w:b/>
                <w:sz w:val="22"/>
              </w:rPr>
              <w:t xml:space="preserve">Non-monetised costs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2BA78AB3" w14:textId="77777777" w:rsidR="00380585" w:rsidRPr="005D20D1" w:rsidRDefault="00AA7962" w:rsidP="00784C66">
            <w:pPr>
              <w:pStyle w:val="TableText"/>
              <w:keepNext/>
              <w:rPr>
                <w:rFonts w:eastAsia="Calibri"/>
                <w:sz w:val="22"/>
              </w:rPr>
            </w:pPr>
            <w:r>
              <w:rPr>
                <w:rFonts w:eastAsia="Calibri"/>
                <w:sz w:val="22"/>
              </w:rPr>
              <w:t>Compliance costs for borrowers</w:t>
            </w: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5580CE1E" w14:textId="77777777" w:rsidR="00380585" w:rsidRPr="00E62373" w:rsidRDefault="00AA7962" w:rsidP="00784C66">
            <w:pPr>
              <w:pStyle w:val="TableText"/>
              <w:keepNext/>
              <w:rPr>
                <w:rFonts w:eastAsia="Calibri"/>
                <w:i/>
                <w:sz w:val="22"/>
              </w:rPr>
            </w:pPr>
            <w:r>
              <w:rPr>
                <w:rFonts w:eastAsia="Calibri"/>
                <w:i/>
                <w:sz w:val="22"/>
              </w:rPr>
              <w:t>Low</w:t>
            </w:r>
          </w:p>
        </w:tc>
      </w:tr>
    </w:tbl>
    <w:p w14:paraId="6F92BC45" w14:textId="77777777" w:rsidR="00380585" w:rsidRPr="0069218C" w:rsidRDefault="00380585" w:rsidP="00567434">
      <w:pPr>
        <w:pStyle w:val="spacer"/>
      </w:pPr>
    </w:p>
    <w:tbl>
      <w:tblPr>
        <w:tblpPr w:leftFromText="180" w:rightFromText="180" w:vertAnchor="text" w:tblpX="6" w:tblpY="1"/>
        <w:tblOverlap w:val="never"/>
        <w:tblW w:w="907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4252"/>
        <w:gridCol w:w="2837"/>
      </w:tblGrid>
      <w:tr w:rsidR="00380585" w:rsidRPr="0069218C" w14:paraId="1A301A67" w14:textId="77777777" w:rsidTr="00030EC1">
        <w:trPr>
          <w:trHeight w:val="253"/>
        </w:trPr>
        <w:tc>
          <w:tcPr>
            <w:tcW w:w="9071" w:type="dxa"/>
            <w:gridSpan w:val="3"/>
            <w:tcBorders>
              <w:top w:val="single" w:sz="2" w:space="0" w:color="auto"/>
              <w:left w:val="single" w:sz="2" w:space="0" w:color="auto"/>
              <w:bottom w:val="single" w:sz="2" w:space="0" w:color="auto"/>
              <w:right w:val="single" w:sz="2" w:space="0" w:color="auto"/>
            </w:tcBorders>
            <w:shd w:val="clear" w:color="auto" w:fill="80C0D5"/>
          </w:tcPr>
          <w:p w14:paraId="6B4D93E8" w14:textId="77777777" w:rsidR="00380585" w:rsidRPr="000535CE" w:rsidRDefault="00380585" w:rsidP="00784C66">
            <w:pPr>
              <w:spacing w:before="40" w:after="20" w:line="240" w:lineRule="auto"/>
              <w:rPr>
                <w:rFonts w:ascii="Arial Narrow" w:eastAsia="Calibri" w:hAnsi="Arial Narrow"/>
                <w:szCs w:val="22"/>
              </w:rPr>
            </w:pPr>
            <w:r w:rsidRPr="00886DFF">
              <w:rPr>
                <w:rFonts w:eastAsia="Calibri"/>
                <w:color w:val="000000"/>
                <w:szCs w:val="22"/>
              </w:rPr>
              <w:t>Expected benefits of proposed approach, compared to taking no action</w:t>
            </w:r>
          </w:p>
        </w:tc>
      </w:tr>
      <w:tr w:rsidR="00380585" w:rsidRPr="0069218C" w14:paraId="6A7E1806"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4271A348" w14:textId="77777777" w:rsidR="00380585" w:rsidRPr="0069218C" w:rsidRDefault="00380585" w:rsidP="00784C66">
            <w:pPr>
              <w:pStyle w:val="TableText"/>
              <w:rPr>
                <w:rFonts w:eastAsia="Calibri"/>
                <w:sz w:val="22"/>
              </w:rPr>
            </w:pPr>
            <w:r w:rsidRPr="0069218C">
              <w:rPr>
                <w:rFonts w:eastAsia="Calibri"/>
                <w:sz w:val="22"/>
              </w:rPr>
              <w:t>Regulated parties</w:t>
            </w:r>
            <w:r w:rsidR="0060353C">
              <w:rPr>
                <w:rFonts w:eastAsia="Calibri"/>
                <w:sz w:val="22"/>
              </w:rPr>
              <w:t xml:space="preserve"> </w:t>
            </w:r>
            <w:r w:rsidR="00AA7962" w:rsidRPr="0055363A">
              <w:rPr>
                <w:rFonts w:eastAsia="Calibri"/>
                <w:i/>
                <w:sz w:val="22"/>
              </w:rPr>
              <w:t>(</w:t>
            </w:r>
            <w:r w:rsidR="00F94B71">
              <w:rPr>
                <w:rFonts w:eastAsia="Calibri"/>
                <w:i/>
                <w:sz w:val="22"/>
              </w:rPr>
              <w:t>a</w:t>
            </w:r>
            <w:r w:rsidR="008F09CB" w:rsidRPr="0055363A">
              <w:rPr>
                <w:rFonts w:eastAsia="Calibri"/>
                <w:i/>
                <w:sz w:val="22"/>
              </w:rPr>
              <w:t>ffected b</w:t>
            </w:r>
            <w:r w:rsidR="0060353C" w:rsidRPr="0055363A">
              <w:rPr>
                <w:rFonts w:eastAsia="Calibri"/>
                <w:i/>
                <w:sz w:val="22"/>
              </w:rPr>
              <w:t>orrowers</w:t>
            </w:r>
            <w:r w:rsidR="00AA7962" w:rsidRPr="0055363A">
              <w:rPr>
                <w:rFonts w:eastAsia="Calibri"/>
                <w:i/>
                <w:sz w:val="22"/>
              </w:rPr>
              <w: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1C91CE09" w14:textId="77777777" w:rsidR="00380585" w:rsidRDefault="00AA7962" w:rsidP="00784C66">
            <w:pPr>
              <w:pStyle w:val="TableText"/>
              <w:rPr>
                <w:rFonts w:eastAsia="Calibri"/>
                <w:sz w:val="22"/>
              </w:rPr>
            </w:pPr>
            <w:r>
              <w:rPr>
                <w:rFonts w:eastAsia="Calibri"/>
                <w:sz w:val="22"/>
              </w:rPr>
              <w:t>Ongoing c</w:t>
            </w:r>
            <w:r w:rsidR="0060353C">
              <w:rPr>
                <w:rFonts w:eastAsia="Calibri"/>
                <w:sz w:val="22"/>
              </w:rPr>
              <w:t xml:space="preserve">ompliance costs savings </w:t>
            </w:r>
            <w:r w:rsidR="00CE7CF5">
              <w:rPr>
                <w:rFonts w:eastAsia="Calibri"/>
                <w:sz w:val="22"/>
              </w:rPr>
              <w:t xml:space="preserve">for </w:t>
            </w:r>
            <w:r w:rsidR="00045B4E">
              <w:rPr>
                <w:rFonts w:eastAsia="Calibri"/>
                <w:sz w:val="22"/>
              </w:rPr>
              <w:t xml:space="preserve">borrowers </w:t>
            </w:r>
            <w:r w:rsidR="00CE7CF5">
              <w:rPr>
                <w:rFonts w:eastAsia="Calibri"/>
                <w:sz w:val="22"/>
              </w:rPr>
              <w:t xml:space="preserve">affected by a prior year’s </w:t>
            </w:r>
            <w:r w:rsidR="008A0D5F">
              <w:rPr>
                <w:rFonts w:eastAsia="Calibri"/>
                <w:sz w:val="22"/>
              </w:rPr>
              <w:t>r</w:t>
            </w:r>
            <w:r w:rsidR="005214DC">
              <w:rPr>
                <w:rFonts w:eastAsia="Calibri"/>
                <w:sz w:val="22"/>
              </w:rPr>
              <w:t>epayment obligation</w:t>
            </w:r>
            <w:r>
              <w:rPr>
                <w:rFonts w:eastAsia="Calibri"/>
                <w:sz w:val="22"/>
              </w:rPr>
              <w:t>.</w:t>
            </w:r>
            <w:r w:rsidR="00CE7CF5">
              <w:rPr>
                <w:rFonts w:eastAsia="Calibri"/>
                <w:sz w:val="22"/>
              </w:rPr>
              <w:t xml:space="preserve"> </w:t>
            </w:r>
            <w:r>
              <w:rPr>
                <w:rFonts w:eastAsia="Calibri"/>
                <w:sz w:val="22"/>
              </w:rPr>
              <w:t xml:space="preserve">The proposal </w:t>
            </w:r>
            <w:r w:rsidR="0060353C">
              <w:rPr>
                <w:rFonts w:eastAsia="Calibri"/>
                <w:sz w:val="22"/>
              </w:rPr>
              <w:t>reduc</w:t>
            </w:r>
            <w:r w:rsidR="00045B4E">
              <w:rPr>
                <w:rFonts w:eastAsia="Calibri"/>
                <w:sz w:val="22"/>
              </w:rPr>
              <w:t>es</w:t>
            </w:r>
            <w:r w:rsidR="0060353C">
              <w:rPr>
                <w:rFonts w:eastAsia="Calibri"/>
                <w:sz w:val="22"/>
              </w:rPr>
              <w:t xml:space="preserve"> the need</w:t>
            </w:r>
            <w:r>
              <w:rPr>
                <w:rFonts w:eastAsia="Calibri"/>
                <w:sz w:val="22"/>
              </w:rPr>
              <w:t xml:space="preserve"> for affected borrowers</w:t>
            </w:r>
            <w:r w:rsidR="0060353C">
              <w:rPr>
                <w:rFonts w:eastAsia="Calibri"/>
                <w:sz w:val="22"/>
              </w:rPr>
              <w:t xml:space="preserve"> to understand how </w:t>
            </w:r>
            <w:r>
              <w:rPr>
                <w:rFonts w:eastAsia="Calibri"/>
                <w:sz w:val="22"/>
              </w:rPr>
              <w:t xml:space="preserve">the </w:t>
            </w:r>
            <w:r w:rsidR="00CE7CF5">
              <w:rPr>
                <w:rFonts w:eastAsia="Calibri"/>
                <w:sz w:val="22"/>
              </w:rPr>
              <w:t xml:space="preserve">old </w:t>
            </w:r>
            <w:r w:rsidR="0060353C">
              <w:rPr>
                <w:rFonts w:eastAsia="Calibri"/>
                <w:sz w:val="22"/>
              </w:rPr>
              <w:t xml:space="preserve">rules </w:t>
            </w:r>
            <w:r w:rsidR="00CE7CF5">
              <w:rPr>
                <w:rFonts w:eastAsia="Calibri"/>
                <w:sz w:val="22"/>
              </w:rPr>
              <w:t xml:space="preserve">impact </w:t>
            </w:r>
            <w:r w:rsidR="00045B4E">
              <w:rPr>
                <w:rFonts w:eastAsia="Calibri"/>
                <w:sz w:val="22"/>
              </w:rPr>
              <w:t>their student loan liability.</w:t>
            </w:r>
          </w:p>
          <w:p w14:paraId="2099F0AF" w14:textId="121BBB92" w:rsidR="00045B4E" w:rsidRDefault="00045B4E" w:rsidP="00784C66">
            <w:pPr>
              <w:pStyle w:val="TableText"/>
              <w:rPr>
                <w:rFonts w:eastAsia="Calibri"/>
                <w:sz w:val="22"/>
              </w:rPr>
            </w:pPr>
            <w:r>
              <w:rPr>
                <w:rFonts w:eastAsia="Calibri"/>
                <w:sz w:val="22"/>
              </w:rPr>
              <w:t xml:space="preserve">By way of example, </w:t>
            </w:r>
            <w:r w:rsidR="00771B00">
              <w:rPr>
                <w:rFonts w:eastAsia="Calibri"/>
                <w:sz w:val="22"/>
              </w:rPr>
              <w:t xml:space="preserve">borrowers </w:t>
            </w:r>
            <w:r>
              <w:rPr>
                <w:rFonts w:eastAsia="Calibri"/>
                <w:sz w:val="22"/>
              </w:rPr>
              <w:t xml:space="preserve">with </w:t>
            </w:r>
            <w:r w:rsidR="00771B00">
              <w:rPr>
                <w:rFonts w:eastAsia="Calibri"/>
                <w:sz w:val="22"/>
              </w:rPr>
              <w:t xml:space="preserve">changes to prior year’s obligations </w:t>
            </w:r>
            <w:r>
              <w:rPr>
                <w:rFonts w:eastAsia="Calibri"/>
                <w:sz w:val="22"/>
              </w:rPr>
              <w:t xml:space="preserve">will no longer </w:t>
            </w:r>
            <w:r w:rsidR="00444869">
              <w:rPr>
                <w:rFonts w:eastAsia="Calibri"/>
                <w:sz w:val="22"/>
              </w:rPr>
              <w:t xml:space="preserve">be </w:t>
            </w:r>
            <w:r>
              <w:rPr>
                <w:rFonts w:eastAsia="Calibri"/>
                <w:sz w:val="22"/>
              </w:rPr>
              <w:t>required to understand the impact of the</w:t>
            </w:r>
            <w:r w:rsidR="00864A28">
              <w:rPr>
                <w:rFonts w:eastAsia="Calibri"/>
                <w:sz w:val="22"/>
              </w:rPr>
              <w:t xml:space="preserve"> voluntary repayment bonus or 3-</w:t>
            </w:r>
            <w:r>
              <w:rPr>
                <w:rFonts w:eastAsia="Calibri"/>
                <w:sz w:val="22"/>
              </w:rPr>
              <w:t>year repayment holiday</w:t>
            </w:r>
            <w:r w:rsidR="00AA7962">
              <w:rPr>
                <w:rFonts w:eastAsia="Calibri"/>
                <w:sz w:val="22"/>
              </w:rPr>
              <w:t xml:space="preserve"> on their loan balance</w:t>
            </w:r>
            <w:r w:rsidR="00586B07">
              <w:rPr>
                <w:rFonts w:eastAsia="Calibri"/>
                <w:sz w:val="22"/>
              </w:rPr>
              <w:t xml:space="preserve">. </w:t>
            </w:r>
            <w:r w:rsidR="00444869">
              <w:rPr>
                <w:rFonts w:eastAsia="Calibri"/>
                <w:sz w:val="22"/>
              </w:rPr>
              <w:t>However, they may have had a higher loan balance through not receiving the voluntary repayment bonus.</w:t>
            </w:r>
          </w:p>
          <w:p w14:paraId="4CB33301" w14:textId="77777777" w:rsidR="00045B4E" w:rsidRDefault="00045B4E" w:rsidP="00784C66">
            <w:pPr>
              <w:pStyle w:val="TableText"/>
              <w:rPr>
                <w:rFonts w:eastAsia="Calibri"/>
                <w:sz w:val="22"/>
              </w:rPr>
            </w:pPr>
          </w:p>
          <w:p w14:paraId="11B88781" w14:textId="77777777" w:rsidR="000C7BDD" w:rsidRPr="0069218C" w:rsidRDefault="000C7BDD" w:rsidP="00784C66">
            <w:pPr>
              <w:pStyle w:val="TableText"/>
              <w:rPr>
                <w:rFonts w:eastAsia="Calibri"/>
                <w:sz w:val="22"/>
              </w:rPr>
            </w:pPr>
            <w:r>
              <w:rPr>
                <w:rFonts w:eastAsia="Calibri"/>
                <w:sz w:val="22"/>
              </w:rPr>
              <w:t>Borrowers who may have been required to pay late payment interest due to a changed repayment obligation prior to 1 April 2013 would not be required to pay this after this change (April 2020)</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6F33270B" w14:textId="77777777" w:rsidR="00380585" w:rsidRDefault="00CE7CF5" w:rsidP="00784C66">
            <w:pPr>
              <w:pStyle w:val="TableText"/>
              <w:rPr>
                <w:rFonts w:eastAsia="Calibri"/>
                <w:sz w:val="22"/>
              </w:rPr>
            </w:pPr>
            <w:r>
              <w:rPr>
                <w:rFonts w:eastAsia="Calibri"/>
                <w:sz w:val="22"/>
              </w:rPr>
              <w:t>Low/Medium depending on the extent of the</w:t>
            </w:r>
            <w:r w:rsidR="005214DC">
              <w:rPr>
                <w:rFonts w:eastAsia="Calibri"/>
                <w:sz w:val="22"/>
              </w:rPr>
              <w:t xml:space="preserve"> changes to repayment obligations </w:t>
            </w:r>
            <w:r w:rsidR="007A5FCD">
              <w:rPr>
                <w:rFonts w:eastAsia="Calibri"/>
                <w:sz w:val="22"/>
              </w:rPr>
              <w:t>and number of years involved</w:t>
            </w:r>
          </w:p>
          <w:p w14:paraId="186DC044" w14:textId="77777777" w:rsidR="000C7BDD" w:rsidRDefault="000C7BDD" w:rsidP="00784C66">
            <w:pPr>
              <w:pStyle w:val="TableText"/>
              <w:rPr>
                <w:rFonts w:eastAsia="Calibri"/>
                <w:sz w:val="22"/>
              </w:rPr>
            </w:pPr>
          </w:p>
          <w:p w14:paraId="4575C080" w14:textId="77777777" w:rsidR="000C7BDD" w:rsidRDefault="000C7BDD" w:rsidP="00784C66">
            <w:pPr>
              <w:pStyle w:val="TableText"/>
              <w:rPr>
                <w:rFonts w:eastAsia="Calibri"/>
                <w:sz w:val="22"/>
              </w:rPr>
            </w:pPr>
          </w:p>
          <w:p w14:paraId="5166D97F" w14:textId="77777777" w:rsidR="000C7BDD" w:rsidRDefault="000C7BDD" w:rsidP="00784C66">
            <w:pPr>
              <w:pStyle w:val="TableText"/>
              <w:rPr>
                <w:rFonts w:eastAsia="Calibri"/>
                <w:sz w:val="22"/>
              </w:rPr>
            </w:pPr>
          </w:p>
          <w:p w14:paraId="71B2C5A9" w14:textId="77777777" w:rsidR="000C7BDD" w:rsidRDefault="000C7BDD" w:rsidP="00784C66">
            <w:pPr>
              <w:pStyle w:val="TableText"/>
              <w:rPr>
                <w:rFonts w:eastAsia="Calibri"/>
                <w:sz w:val="22"/>
              </w:rPr>
            </w:pPr>
          </w:p>
          <w:p w14:paraId="7255CD24" w14:textId="77777777" w:rsidR="000C7BDD" w:rsidRDefault="000C7BDD" w:rsidP="00784C66">
            <w:pPr>
              <w:pStyle w:val="TableText"/>
              <w:rPr>
                <w:rFonts w:eastAsia="Calibri"/>
                <w:sz w:val="22"/>
              </w:rPr>
            </w:pPr>
          </w:p>
          <w:p w14:paraId="60ABDBE2" w14:textId="77777777" w:rsidR="000C7BDD" w:rsidRDefault="000C7BDD" w:rsidP="00784C66">
            <w:pPr>
              <w:pStyle w:val="TableText"/>
              <w:rPr>
                <w:rFonts w:eastAsia="Calibri"/>
                <w:sz w:val="22"/>
              </w:rPr>
            </w:pPr>
          </w:p>
          <w:p w14:paraId="3C1F460B" w14:textId="77777777" w:rsidR="000C7BDD" w:rsidRDefault="000C7BDD" w:rsidP="00784C66">
            <w:pPr>
              <w:pStyle w:val="TableText"/>
              <w:rPr>
                <w:rFonts w:eastAsia="Calibri"/>
                <w:sz w:val="22"/>
              </w:rPr>
            </w:pPr>
          </w:p>
          <w:p w14:paraId="16CEDEC7" w14:textId="77777777" w:rsidR="000C7BDD" w:rsidRDefault="000C7BDD" w:rsidP="00784C66">
            <w:pPr>
              <w:pStyle w:val="TableText"/>
              <w:rPr>
                <w:rFonts w:eastAsia="Calibri"/>
                <w:sz w:val="22"/>
              </w:rPr>
            </w:pPr>
          </w:p>
          <w:p w14:paraId="19453669" w14:textId="77777777" w:rsidR="000C7BDD" w:rsidRDefault="000C7BDD" w:rsidP="00784C66">
            <w:pPr>
              <w:pStyle w:val="TableText"/>
              <w:rPr>
                <w:rFonts w:eastAsia="Calibri"/>
                <w:sz w:val="22"/>
              </w:rPr>
            </w:pPr>
          </w:p>
          <w:p w14:paraId="0F4523E1" w14:textId="77777777" w:rsidR="000C7BDD" w:rsidRPr="0069218C" w:rsidRDefault="000C7BDD" w:rsidP="00784C66">
            <w:pPr>
              <w:pStyle w:val="TableText"/>
              <w:rPr>
                <w:rFonts w:eastAsia="Calibri"/>
                <w:sz w:val="22"/>
              </w:rPr>
            </w:pPr>
            <w:r>
              <w:rPr>
                <w:rFonts w:eastAsia="Calibri"/>
                <w:sz w:val="22"/>
              </w:rPr>
              <w:t xml:space="preserve">Low </w:t>
            </w:r>
          </w:p>
        </w:tc>
      </w:tr>
      <w:tr w:rsidR="00380585" w:rsidRPr="0069218C" w14:paraId="5AC2F318"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26C7B3F" w14:textId="77777777" w:rsidR="00380585" w:rsidRPr="0069218C" w:rsidRDefault="00380585" w:rsidP="00784C66">
            <w:pPr>
              <w:pStyle w:val="TableText"/>
              <w:rPr>
                <w:rFonts w:eastAsia="Calibri"/>
                <w:sz w:val="22"/>
              </w:rPr>
            </w:pPr>
            <w:r w:rsidRPr="0069218C">
              <w:rPr>
                <w:rFonts w:eastAsia="Calibri"/>
                <w:sz w:val="22"/>
              </w:rPr>
              <w:lastRenderedPageBreak/>
              <w:t>Regulators</w:t>
            </w:r>
            <w:r w:rsidR="0060353C">
              <w:rPr>
                <w:rFonts w:eastAsia="Calibri"/>
                <w:sz w:val="22"/>
              </w:rPr>
              <w:t xml:space="preserve"> </w:t>
            </w:r>
            <w:r w:rsidR="00AA7962" w:rsidRPr="00D936FF">
              <w:rPr>
                <w:rFonts w:eastAsia="Calibri"/>
                <w:i/>
                <w:sz w:val="22"/>
              </w:rPr>
              <w:t>(</w:t>
            </w:r>
            <w:r w:rsidR="0060353C" w:rsidRPr="00D936FF">
              <w:rPr>
                <w:rFonts w:eastAsia="Calibri"/>
                <w:i/>
                <w:sz w:val="22"/>
              </w:rPr>
              <w:t>Inland Revenue</w:t>
            </w:r>
            <w:r w:rsidR="00AA7962" w:rsidRPr="00D936FF">
              <w:rPr>
                <w:rFonts w:eastAsia="Calibri"/>
                <w:i/>
                <w:sz w:val="22"/>
              </w:rPr>
              <w: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16C0C3EE" w14:textId="77777777" w:rsidR="00380585" w:rsidRDefault="00CD0744" w:rsidP="00784C66">
            <w:pPr>
              <w:pStyle w:val="TableText"/>
              <w:rPr>
                <w:rFonts w:eastAsia="Calibri"/>
                <w:sz w:val="22"/>
              </w:rPr>
            </w:pPr>
            <w:r>
              <w:rPr>
                <w:rFonts w:eastAsia="Calibri"/>
                <w:sz w:val="22"/>
              </w:rPr>
              <w:t>Reduced implementation costs for IR</w:t>
            </w:r>
            <w:r w:rsidR="000071F9">
              <w:rPr>
                <w:rFonts w:eastAsia="Calibri"/>
                <w:sz w:val="22"/>
              </w:rPr>
              <w:t>.</w:t>
            </w:r>
          </w:p>
          <w:p w14:paraId="7C294319" w14:textId="77777777" w:rsidR="007A5FCD" w:rsidRPr="0069218C" w:rsidRDefault="00CD0744" w:rsidP="00784C66">
            <w:pPr>
              <w:pStyle w:val="TableText"/>
              <w:rPr>
                <w:rFonts w:eastAsia="Calibri"/>
                <w:sz w:val="22"/>
              </w:rPr>
            </w:pPr>
            <w:r>
              <w:rPr>
                <w:rFonts w:eastAsia="Calibri"/>
                <w:sz w:val="22"/>
              </w:rPr>
              <w:t xml:space="preserve">Reduced ongoing costs </w:t>
            </w:r>
            <w:r w:rsidR="00F80F0B">
              <w:rPr>
                <w:rFonts w:eastAsia="Calibri"/>
                <w:sz w:val="22"/>
              </w:rPr>
              <w:t>of changing prior years’ obligations</w:t>
            </w:r>
            <w:r>
              <w:rPr>
                <w:rFonts w:eastAsia="Calibri"/>
                <w:sz w:val="22"/>
              </w:rPr>
              <w:t xml:space="preserve">, </w:t>
            </w:r>
            <w:r w:rsidR="007A5FCD">
              <w:rPr>
                <w:rFonts w:eastAsia="Calibri"/>
                <w:sz w:val="22"/>
              </w:rPr>
              <w:t xml:space="preserve">training staff and retaining </w:t>
            </w:r>
            <w:r w:rsidR="00AA7962">
              <w:rPr>
                <w:rFonts w:eastAsia="Calibri"/>
                <w:sz w:val="22"/>
              </w:rPr>
              <w:t xml:space="preserve">administrative </w:t>
            </w:r>
            <w:r w:rsidR="007A5FCD">
              <w:rPr>
                <w:rFonts w:eastAsia="Calibri"/>
                <w:sz w:val="22"/>
              </w:rPr>
              <w:t>processes.</w:t>
            </w:r>
            <w:r w:rsidR="000071F9">
              <w:rPr>
                <w:rFonts w:eastAsia="Calibri"/>
                <w:sz w:val="22"/>
              </w:rPr>
              <w:t xml:space="preserve"> </w:t>
            </w:r>
            <w:r w:rsidR="007A5FCD">
              <w:rPr>
                <w:rFonts w:eastAsia="Calibri"/>
                <w:sz w:val="22"/>
              </w:rPr>
              <w:t>These costs will form part of the savings from Inland Revenue’s Business Transformation Programme.</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56000B6B" w14:textId="77777777" w:rsidR="00380585" w:rsidRPr="0069218C" w:rsidRDefault="007A5FCD" w:rsidP="00784C66">
            <w:pPr>
              <w:pStyle w:val="TableText"/>
              <w:rPr>
                <w:rFonts w:eastAsia="Calibri"/>
                <w:sz w:val="22"/>
              </w:rPr>
            </w:pPr>
            <w:r>
              <w:rPr>
                <w:rFonts w:eastAsia="Calibri"/>
                <w:sz w:val="22"/>
              </w:rPr>
              <w:t>Low/</w:t>
            </w:r>
            <w:r w:rsidR="00F94B71">
              <w:rPr>
                <w:rFonts w:eastAsia="Calibri"/>
                <w:sz w:val="22"/>
              </w:rPr>
              <w:t>M</w:t>
            </w:r>
            <w:r>
              <w:rPr>
                <w:rFonts w:eastAsia="Calibri"/>
                <w:sz w:val="22"/>
              </w:rPr>
              <w:t>edium</w:t>
            </w:r>
          </w:p>
        </w:tc>
      </w:tr>
      <w:tr w:rsidR="00380585" w:rsidRPr="0069218C" w14:paraId="45C1FBE4"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3F4B6CA" w14:textId="77777777" w:rsidR="00380585" w:rsidRPr="0069218C" w:rsidRDefault="00380585" w:rsidP="00784C66">
            <w:pPr>
              <w:pStyle w:val="TableText"/>
              <w:rPr>
                <w:rFonts w:eastAsia="Calibri"/>
                <w:sz w:val="22"/>
              </w:rPr>
            </w:pPr>
            <w:r w:rsidRPr="0069218C">
              <w:rPr>
                <w:rFonts w:eastAsia="Calibri"/>
                <w:sz w:val="22"/>
              </w:rPr>
              <w:t>Wider government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5E151968" w14:textId="77777777" w:rsidR="00380585" w:rsidRPr="0069218C" w:rsidRDefault="007A5FCD" w:rsidP="00784C66">
            <w:pPr>
              <w:pStyle w:val="TableText"/>
              <w:rPr>
                <w:rFonts w:eastAsia="Calibri"/>
                <w:sz w:val="22"/>
              </w:rPr>
            </w:pPr>
            <w:r>
              <w:rPr>
                <w:rFonts w:eastAsia="Calibri"/>
                <w:sz w:val="22"/>
              </w:rPr>
              <w:t>N</w:t>
            </w:r>
            <w:r w:rsidR="00F94B71">
              <w:rPr>
                <w:rFonts w:eastAsia="Calibri"/>
                <w:sz w:val="22"/>
              </w:rPr>
              <w:t>one</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6A7C8332" w14:textId="77777777" w:rsidR="00380585" w:rsidRPr="0069218C" w:rsidRDefault="007A5FCD" w:rsidP="00784C66">
            <w:pPr>
              <w:pStyle w:val="TableText"/>
              <w:rPr>
                <w:rFonts w:eastAsia="Calibri"/>
                <w:sz w:val="22"/>
              </w:rPr>
            </w:pPr>
            <w:r>
              <w:rPr>
                <w:rFonts w:eastAsia="Calibri"/>
                <w:sz w:val="22"/>
              </w:rPr>
              <w:t>N</w:t>
            </w:r>
            <w:r w:rsidR="00F94B71">
              <w:rPr>
                <w:rFonts w:eastAsia="Calibri"/>
                <w:sz w:val="22"/>
              </w:rPr>
              <w:t>one</w:t>
            </w:r>
          </w:p>
        </w:tc>
      </w:tr>
      <w:tr w:rsidR="00380585" w:rsidRPr="0069218C" w14:paraId="078288FC"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3DE934CB" w14:textId="77777777" w:rsidR="00380585" w:rsidRPr="0069218C" w:rsidRDefault="00380585" w:rsidP="00784C66">
            <w:pPr>
              <w:pStyle w:val="TableText"/>
              <w:rPr>
                <w:rFonts w:eastAsia="Calibri"/>
                <w:sz w:val="22"/>
              </w:rPr>
            </w:pPr>
            <w:r w:rsidRPr="0069218C">
              <w:rPr>
                <w:rFonts w:eastAsia="Calibri"/>
                <w:sz w:val="22"/>
              </w:rPr>
              <w:t xml:space="preserve">Other parties </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69B16DB" w14:textId="77777777" w:rsidR="00380585" w:rsidRPr="0069218C" w:rsidRDefault="007A5FCD" w:rsidP="00784C66">
            <w:pPr>
              <w:pStyle w:val="TableText"/>
              <w:rPr>
                <w:rFonts w:eastAsia="Calibri"/>
                <w:sz w:val="22"/>
              </w:rPr>
            </w:pPr>
            <w:r>
              <w:rPr>
                <w:rFonts w:eastAsia="Calibri"/>
                <w:sz w:val="22"/>
              </w:rPr>
              <w:t>N</w:t>
            </w:r>
            <w:r w:rsidR="00F94B71">
              <w:rPr>
                <w:rFonts w:eastAsia="Calibri"/>
                <w:sz w:val="22"/>
              </w:rPr>
              <w:t>one</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76C8917E" w14:textId="77777777" w:rsidR="00380585" w:rsidRPr="0069218C" w:rsidRDefault="007A5FCD" w:rsidP="00784C66">
            <w:pPr>
              <w:pStyle w:val="TableText"/>
              <w:rPr>
                <w:rFonts w:eastAsia="Calibri"/>
                <w:sz w:val="22"/>
              </w:rPr>
            </w:pPr>
            <w:r>
              <w:rPr>
                <w:rFonts w:eastAsia="Calibri"/>
                <w:sz w:val="22"/>
              </w:rPr>
              <w:t>N</w:t>
            </w:r>
            <w:r w:rsidR="00F94B71">
              <w:rPr>
                <w:rFonts w:eastAsia="Calibri"/>
                <w:sz w:val="22"/>
              </w:rPr>
              <w:t>one</w:t>
            </w:r>
          </w:p>
        </w:tc>
      </w:tr>
      <w:tr w:rsidR="00380585" w:rsidRPr="0069218C" w14:paraId="06BAA17C"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35CDE8EA" w14:textId="77777777" w:rsidR="00380585" w:rsidRPr="0069218C" w:rsidRDefault="00380585" w:rsidP="00784C66">
            <w:pPr>
              <w:pStyle w:val="TableText"/>
              <w:rPr>
                <w:rFonts w:eastAsia="Calibri"/>
                <w:b/>
                <w:sz w:val="22"/>
              </w:rPr>
            </w:pPr>
            <w:r w:rsidRPr="0069218C">
              <w:rPr>
                <w:rFonts w:eastAsia="Calibri"/>
                <w:b/>
                <w:sz w:val="22"/>
              </w:rPr>
              <w:t>Total Monetised Benefit</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376D29C8" w14:textId="77777777" w:rsidR="00380585" w:rsidRPr="007A5FCD" w:rsidRDefault="007A5FCD" w:rsidP="00784C66">
            <w:pPr>
              <w:pStyle w:val="TableText"/>
              <w:rPr>
                <w:rFonts w:eastAsia="Calibri"/>
                <w:sz w:val="22"/>
              </w:rPr>
            </w:pPr>
            <w:r>
              <w:rPr>
                <w:rFonts w:eastAsia="Calibri"/>
                <w:sz w:val="22"/>
              </w:rPr>
              <w:t>N</w:t>
            </w:r>
            <w:r w:rsidR="00F94B71">
              <w:rPr>
                <w:rFonts w:eastAsia="Calibri"/>
                <w:sz w:val="22"/>
              </w:rPr>
              <w:t>one</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71E8B026" w14:textId="77777777" w:rsidR="00380585" w:rsidRPr="0069218C" w:rsidRDefault="007A5FCD" w:rsidP="00784C66">
            <w:pPr>
              <w:pStyle w:val="TableText"/>
              <w:rPr>
                <w:rFonts w:eastAsia="Calibri"/>
                <w:sz w:val="22"/>
              </w:rPr>
            </w:pPr>
            <w:r>
              <w:rPr>
                <w:rFonts w:eastAsia="Calibri"/>
                <w:sz w:val="22"/>
              </w:rPr>
              <w:t>N</w:t>
            </w:r>
            <w:r w:rsidR="00F94B71">
              <w:rPr>
                <w:rFonts w:eastAsia="Calibri"/>
                <w:sz w:val="22"/>
              </w:rPr>
              <w:t>one</w:t>
            </w:r>
          </w:p>
        </w:tc>
      </w:tr>
      <w:tr w:rsidR="00380585" w:rsidRPr="0069218C" w14:paraId="78BB7CBF" w14:textId="77777777" w:rsidTr="00B47208">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40D1D94E" w14:textId="77777777" w:rsidR="00380585" w:rsidRPr="0069218C" w:rsidRDefault="00380585" w:rsidP="00784C66">
            <w:pPr>
              <w:pStyle w:val="TableText"/>
              <w:rPr>
                <w:rFonts w:eastAsia="Calibri"/>
                <w:b/>
                <w:sz w:val="22"/>
              </w:rPr>
            </w:pPr>
            <w:r w:rsidRPr="0069218C">
              <w:rPr>
                <w:rFonts w:eastAsia="Calibri"/>
                <w:b/>
                <w:sz w:val="22"/>
              </w:rPr>
              <w:t>Non-monetised benefits</w:t>
            </w:r>
          </w:p>
        </w:tc>
        <w:tc>
          <w:tcPr>
            <w:tcW w:w="4252" w:type="dxa"/>
            <w:tcBorders>
              <w:top w:val="single" w:sz="2" w:space="0" w:color="auto"/>
              <w:left w:val="single" w:sz="2" w:space="0" w:color="auto"/>
              <w:bottom w:val="single" w:sz="2" w:space="0" w:color="auto"/>
              <w:right w:val="single" w:sz="2" w:space="0" w:color="auto"/>
            </w:tcBorders>
            <w:shd w:val="clear" w:color="auto" w:fill="auto"/>
          </w:tcPr>
          <w:p w14:paraId="4D8A5536" w14:textId="77777777" w:rsidR="00380585" w:rsidRPr="0069218C" w:rsidRDefault="00C517F9" w:rsidP="00784C66">
            <w:pPr>
              <w:pStyle w:val="TableText"/>
              <w:rPr>
                <w:rFonts w:eastAsia="Calibri"/>
                <w:sz w:val="22"/>
              </w:rPr>
            </w:pPr>
            <w:r>
              <w:rPr>
                <w:rFonts w:eastAsia="Calibri"/>
                <w:sz w:val="22"/>
              </w:rPr>
              <w:t>Reduced c</w:t>
            </w:r>
            <w:r w:rsidR="007A5FCD">
              <w:rPr>
                <w:rFonts w:eastAsia="Calibri"/>
                <w:sz w:val="22"/>
              </w:rPr>
              <w:t xml:space="preserve">ompliance </w:t>
            </w:r>
            <w:r>
              <w:rPr>
                <w:rFonts w:eastAsia="Calibri"/>
                <w:sz w:val="22"/>
              </w:rPr>
              <w:t xml:space="preserve">costs </w:t>
            </w:r>
            <w:r w:rsidR="007A5FCD">
              <w:rPr>
                <w:rFonts w:eastAsia="Calibri"/>
                <w:sz w:val="22"/>
              </w:rPr>
              <w:t>for borrowers and administrative benefits for Inland Revenue</w:t>
            </w:r>
          </w:p>
        </w:tc>
        <w:tc>
          <w:tcPr>
            <w:tcW w:w="2837" w:type="dxa"/>
            <w:tcBorders>
              <w:top w:val="single" w:sz="2" w:space="0" w:color="auto"/>
              <w:left w:val="single" w:sz="2" w:space="0" w:color="auto"/>
              <w:bottom w:val="single" w:sz="2" w:space="0" w:color="auto"/>
              <w:right w:val="single" w:sz="2" w:space="0" w:color="auto"/>
            </w:tcBorders>
            <w:shd w:val="clear" w:color="auto" w:fill="auto"/>
          </w:tcPr>
          <w:p w14:paraId="4EF3C438" w14:textId="77777777" w:rsidR="00380585" w:rsidRPr="00E62373" w:rsidRDefault="007A5FCD" w:rsidP="00784C66">
            <w:pPr>
              <w:pStyle w:val="TableText"/>
              <w:rPr>
                <w:rFonts w:eastAsia="Calibri"/>
                <w:i/>
                <w:sz w:val="22"/>
              </w:rPr>
            </w:pPr>
            <w:r>
              <w:rPr>
                <w:rFonts w:eastAsia="Calibri"/>
                <w:i/>
                <w:sz w:val="22"/>
              </w:rPr>
              <w:t>Low/Medium</w:t>
            </w:r>
          </w:p>
        </w:tc>
      </w:tr>
    </w:tbl>
    <w:p w14:paraId="5D27396F" w14:textId="4CF7980B" w:rsidR="00C77099" w:rsidRPr="00886DFF" w:rsidRDefault="00C77099" w:rsidP="000C3197">
      <w:pPr>
        <w:spacing w:after="0"/>
        <w:rPr>
          <w:rFonts w:cs="Arial"/>
          <w:i/>
          <w:color w:val="000000"/>
          <w:szCs w:val="22"/>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77099" w:rsidRPr="0069218C" w14:paraId="768A78FC" w14:textId="77777777" w:rsidTr="00800DEC">
        <w:trPr>
          <w:trHeight w:val="77"/>
        </w:trPr>
        <w:tc>
          <w:tcPr>
            <w:tcW w:w="5000" w:type="pct"/>
            <w:shd w:val="clear" w:color="auto" w:fill="99CDDD"/>
            <w:hideMark/>
          </w:tcPr>
          <w:p w14:paraId="44D33AFB" w14:textId="77777777" w:rsidR="00C77099" w:rsidRPr="00886DFF" w:rsidRDefault="00D9793F" w:rsidP="00EC6FAD">
            <w:pPr>
              <w:pStyle w:val="TableHeadings"/>
              <w:rPr>
                <w:szCs w:val="22"/>
                <w:lang w:val="en-NZ"/>
              </w:rPr>
            </w:pPr>
            <w:r w:rsidRPr="00886DFF">
              <w:rPr>
                <w:szCs w:val="22"/>
                <w:lang w:val="en-NZ"/>
              </w:rPr>
              <w:t>4</w:t>
            </w:r>
            <w:r w:rsidR="00C77099" w:rsidRPr="00886DFF">
              <w:rPr>
                <w:szCs w:val="22"/>
                <w:lang w:val="en-NZ"/>
              </w:rPr>
              <w:t xml:space="preserve">.2   What other impacts is this </w:t>
            </w:r>
            <w:r w:rsidR="002D63C9" w:rsidRPr="00886DFF">
              <w:rPr>
                <w:szCs w:val="22"/>
                <w:lang w:val="en-NZ"/>
              </w:rPr>
              <w:t>approach</w:t>
            </w:r>
            <w:r w:rsidR="00C77099" w:rsidRPr="00886DFF">
              <w:rPr>
                <w:szCs w:val="22"/>
                <w:lang w:val="en-NZ"/>
              </w:rPr>
              <w:t xml:space="preserve"> likely to have?</w:t>
            </w:r>
          </w:p>
        </w:tc>
      </w:tr>
      <w:tr w:rsidR="00A552DC" w:rsidRPr="0069218C" w14:paraId="4DDB8DA1" w14:textId="77777777" w:rsidTr="00500C15">
        <w:trPr>
          <w:trHeight w:val="742"/>
        </w:trPr>
        <w:tc>
          <w:tcPr>
            <w:tcW w:w="5000" w:type="pct"/>
            <w:shd w:val="clear" w:color="auto" w:fill="auto"/>
          </w:tcPr>
          <w:p w14:paraId="39505887" w14:textId="77777777" w:rsidR="00482830" w:rsidRPr="00CB1922" w:rsidRDefault="00482830" w:rsidP="00F522AE">
            <w:pPr>
              <w:spacing w:after="0" w:line="276" w:lineRule="auto"/>
              <w:rPr>
                <w:rFonts w:cs="Arial"/>
                <w:szCs w:val="22"/>
              </w:rPr>
            </w:pPr>
          </w:p>
          <w:p w14:paraId="5A610BFB" w14:textId="606D9138" w:rsidR="000535CE" w:rsidRPr="00CB1922" w:rsidRDefault="007B72D1" w:rsidP="00F522AE">
            <w:pPr>
              <w:spacing w:after="0" w:line="276" w:lineRule="auto"/>
              <w:rPr>
                <w:rFonts w:cs="Arial"/>
                <w:szCs w:val="22"/>
              </w:rPr>
            </w:pPr>
            <w:bookmarkStart w:id="9" w:name="_Hlk535913430"/>
            <w:r>
              <w:rPr>
                <w:rFonts w:cs="Arial"/>
                <w:szCs w:val="22"/>
              </w:rPr>
              <w:t>T</w:t>
            </w:r>
            <w:r w:rsidR="005D20D1" w:rsidRPr="00CB1922">
              <w:rPr>
                <w:rFonts w:cs="Arial"/>
                <w:szCs w:val="22"/>
              </w:rPr>
              <w:t xml:space="preserve">wo different borrowers </w:t>
            </w:r>
            <w:r>
              <w:rPr>
                <w:rFonts w:cs="Arial"/>
                <w:szCs w:val="22"/>
              </w:rPr>
              <w:t xml:space="preserve">may be treated differently </w:t>
            </w:r>
            <w:r w:rsidR="005D20D1" w:rsidRPr="00CB1922">
              <w:rPr>
                <w:rFonts w:cs="Arial"/>
                <w:szCs w:val="22"/>
              </w:rPr>
              <w:t xml:space="preserve">in the same </w:t>
            </w:r>
            <w:r w:rsidR="002E4199" w:rsidRPr="00CB1922">
              <w:rPr>
                <w:rFonts w:cs="Arial"/>
                <w:szCs w:val="22"/>
              </w:rPr>
              <w:t>situation</w:t>
            </w:r>
            <w:r>
              <w:rPr>
                <w:rFonts w:cs="Arial"/>
                <w:szCs w:val="22"/>
              </w:rPr>
              <w:t>,</w:t>
            </w:r>
            <w:r w:rsidR="005D20D1" w:rsidRPr="00CB1922">
              <w:rPr>
                <w:rFonts w:cs="Arial"/>
                <w:szCs w:val="22"/>
              </w:rPr>
              <w:t xml:space="preserve"> depending on when</w:t>
            </w:r>
            <w:r w:rsidR="007F37A5" w:rsidRPr="00CB1922">
              <w:rPr>
                <w:rFonts w:cs="Arial"/>
                <w:szCs w:val="22"/>
              </w:rPr>
              <w:t xml:space="preserve"> the change is identified</w:t>
            </w:r>
            <w:r w:rsidR="00586B07">
              <w:rPr>
                <w:rFonts w:cs="Arial"/>
                <w:szCs w:val="22"/>
              </w:rPr>
              <w:t xml:space="preserve">. </w:t>
            </w:r>
            <w:r w:rsidR="005D20D1" w:rsidRPr="00CB1922">
              <w:rPr>
                <w:rFonts w:cs="Arial"/>
                <w:szCs w:val="22"/>
              </w:rPr>
              <w:t>For example, a</w:t>
            </w:r>
            <w:r w:rsidR="008A0D5F" w:rsidRPr="00CB1922">
              <w:rPr>
                <w:rFonts w:cs="Arial"/>
                <w:szCs w:val="22"/>
              </w:rPr>
              <w:t xml:space="preserve">ssuming no fraud </w:t>
            </w:r>
            <w:r w:rsidR="00C10BF7">
              <w:rPr>
                <w:rFonts w:cs="Arial"/>
                <w:szCs w:val="22"/>
              </w:rPr>
              <w:t>or non-filing</w:t>
            </w:r>
            <w:r w:rsidR="00A279AA">
              <w:rPr>
                <w:rFonts w:cs="Arial"/>
                <w:szCs w:val="22"/>
              </w:rPr>
              <w:t xml:space="preserve"> of a material amount</w:t>
            </w:r>
            <w:r w:rsidR="00C10BF7">
              <w:rPr>
                <w:rFonts w:cs="Arial"/>
                <w:szCs w:val="22"/>
              </w:rPr>
              <w:t xml:space="preserve"> </w:t>
            </w:r>
            <w:r w:rsidR="008A0D5F" w:rsidRPr="00CB1922">
              <w:rPr>
                <w:rFonts w:cs="Arial"/>
                <w:szCs w:val="22"/>
              </w:rPr>
              <w:t>is involved, a</w:t>
            </w:r>
            <w:r w:rsidR="005D20D1" w:rsidRPr="00CB1922">
              <w:rPr>
                <w:rFonts w:cs="Arial"/>
                <w:szCs w:val="22"/>
              </w:rPr>
              <w:t xml:space="preserve"> change in</w:t>
            </w:r>
            <w:r w:rsidR="00A32C90">
              <w:rPr>
                <w:rFonts w:cs="Arial"/>
                <w:szCs w:val="22"/>
              </w:rPr>
              <w:t xml:space="preserve"> a</w:t>
            </w:r>
            <w:r w:rsidR="008A0D5F" w:rsidRPr="00CB1922">
              <w:rPr>
                <w:rFonts w:cs="Arial"/>
                <w:szCs w:val="22"/>
              </w:rPr>
              <w:t xml:space="preserve"> borrower’s</w:t>
            </w:r>
            <w:r w:rsidR="005D20D1" w:rsidRPr="00CB1922">
              <w:rPr>
                <w:rFonts w:cs="Arial"/>
                <w:szCs w:val="22"/>
              </w:rPr>
              <w:t xml:space="preserve"> income that occurred prior to April 2013 would be included in </w:t>
            </w:r>
            <w:r w:rsidR="00A32C90">
              <w:rPr>
                <w:rFonts w:cs="Arial"/>
                <w:szCs w:val="22"/>
              </w:rPr>
              <w:t>the</w:t>
            </w:r>
            <w:r w:rsidR="005D20D1" w:rsidRPr="00CB1922">
              <w:rPr>
                <w:rFonts w:cs="Arial"/>
                <w:szCs w:val="22"/>
              </w:rPr>
              <w:t xml:space="preserve"> borrower’s </w:t>
            </w:r>
            <w:r w:rsidR="007F37A5" w:rsidRPr="00CB1922">
              <w:rPr>
                <w:rFonts w:cs="Arial"/>
                <w:szCs w:val="22"/>
              </w:rPr>
              <w:t>repayment obligation i</w:t>
            </w:r>
            <w:r w:rsidR="008D1CA9" w:rsidRPr="00CB1922">
              <w:rPr>
                <w:rFonts w:cs="Arial"/>
                <w:szCs w:val="22"/>
              </w:rPr>
              <w:t>f the</w:t>
            </w:r>
            <w:r w:rsidR="007F37A5" w:rsidRPr="00CB1922">
              <w:rPr>
                <w:rFonts w:cs="Arial"/>
                <w:szCs w:val="22"/>
              </w:rPr>
              <w:t xml:space="preserve"> change was identified </w:t>
            </w:r>
            <w:r w:rsidR="008D1CA9" w:rsidRPr="00CB1922">
              <w:rPr>
                <w:rFonts w:cs="Arial"/>
                <w:szCs w:val="22"/>
              </w:rPr>
              <w:t>last year</w:t>
            </w:r>
            <w:r w:rsidR="005D20D1" w:rsidRPr="00CB1922">
              <w:rPr>
                <w:rFonts w:cs="Arial"/>
                <w:szCs w:val="22"/>
              </w:rPr>
              <w:t xml:space="preserve"> but w</w:t>
            </w:r>
            <w:r w:rsidR="008A0D5F" w:rsidRPr="00CB1922">
              <w:rPr>
                <w:rFonts w:cs="Arial"/>
                <w:szCs w:val="22"/>
              </w:rPr>
              <w:t>ould</w:t>
            </w:r>
            <w:r w:rsidR="005D20D1" w:rsidRPr="00CB1922">
              <w:rPr>
                <w:rFonts w:cs="Arial"/>
                <w:szCs w:val="22"/>
              </w:rPr>
              <w:t xml:space="preserve"> not </w:t>
            </w:r>
            <w:r w:rsidR="008A0D5F" w:rsidRPr="00CB1922">
              <w:rPr>
                <w:rFonts w:cs="Arial"/>
                <w:szCs w:val="22"/>
              </w:rPr>
              <w:t xml:space="preserve">occur </w:t>
            </w:r>
            <w:r w:rsidR="005D20D1" w:rsidRPr="00CB1922">
              <w:rPr>
                <w:rFonts w:cs="Arial"/>
                <w:szCs w:val="22"/>
              </w:rPr>
              <w:t xml:space="preserve">if </w:t>
            </w:r>
            <w:r w:rsidR="008D1CA9" w:rsidRPr="00CB1922">
              <w:rPr>
                <w:rFonts w:cs="Arial"/>
                <w:szCs w:val="22"/>
              </w:rPr>
              <w:t xml:space="preserve">the change </w:t>
            </w:r>
            <w:r w:rsidR="007F37A5" w:rsidRPr="00CB1922">
              <w:rPr>
                <w:rFonts w:cs="Arial"/>
                <w:szCs w:val="22"/>
              </w:rPr>
              <w:t xml:space="preserve">was identified </w:t>
            </w:r>
            <w:r w:rsidR="005D20D1" w:rsidRPr="00CB1922">
              <w:rPr>
                <w:rFonts w:cs="Arial"/>
                <w:szCs w:val="22"/>
              </w:rPr>
              <w:t>after April 2020</w:t>
            </w:r>
            <w:r w:rsidR="00586B07">
              <w:rPr>
                <w:rFonts w:cs="Arial"/>
                <w:szCs w:val="22"/>
              </w:rPr>
              <w:t xml:space="preserve">. </w:t>
            </w:r>
            <w:r w:rsidR="008A0D5F" w:rsidRPr="00CB1922">
              <w:rPr>
                <w:rFonts w:cs="Arial"/>
                <w:szCs w:val="22"/>
              </w:rPr>
              <w:t xml:space="preserve">The </w:t>
            </w:r>
            <w:r w:rsidR="007F37A5" w:rsidRPr="00CB1922">
              <w:rPr>
                <w:rFonts w:cs="Arial"/>
                <w:szCs w:val="22"/>
              </w:rPr>
              <w:t xml:space="preserve">amended repayment obligation </w:t>
            </w:r>
            <w:r w:rsidR="008A0D5F" w:rsidRPr="00CB1922">
              <w:rPr>
                <w:rFonts w:cs="Arial"/>
                <w:szCs w:val="22"/>
              </w:rPr>
              <w:t>would result i</w:t>
            </w:r>
            <w:r w:rsidR="00D936FF" w:rsidRPr="00CB1922">
              <w:rPr>
                <w:rFonts w:cs="Arial"/>
                <w:szCs w:val="22"/>
              </w:rPr>
              <w:t>n</w:t>
            </w:r>
            <w:r w:rsidR="008A0D5F" w:rsidRPr="00CB1922">
              <w:rPr>
                <w:rFonts w:cs="Arial"/>
                <w:szCs w:val="22"/>
              </w:rPr>
              <w:t xml:space="preserve"> </w:t>
            </w:r>
            <w:r w:rsidR="008D1CA9" w:rsidRPr="00CB1922">
              <w:rPr>
                <w:rFonts w:cs="Arial"/>
                <w:szCs w:val="22"/>
              </w:rPr>
              <w:t xml:space="preserve">the </w:t>
            </w:r>
            <w:r w:rsidR="002F7493" w:rsidRPr="00CB1922">
              <w:rPr>
                <w:rFonts w:cs="Arial"/>
                <w:szCs w:val="22"/>
              </w:rPr>
              <w:t xml:space="preserve">time to repay the </w:t>
            </w:r>
            <w:r w:rsidR="008D1CA9" w:rsidRPr="00CB1922">
              <w:rPr>
                <w:rFonts w:cs="Arial"/>
                <w:szCs w:val="22"/>
              </w:rPr>
              <w:t xml:space="preserve">loan being </w:t>
            </w:r>
            <w:r w:rsidR="007F37A5" w:rsidRPr="00CB1922">
              <w:rPr>
                <w:rFonts w:cs="Arial"/>
                <w:szCs w:val="22"/>
              </w:rPr>
              <w:t>varied slightly</w:t>
            </w:r>
            <w:r w:rsidR="002F7493" w:rsidRPr="00CB1922">
              <w:rPr>
                <w:rFonts w:cs="Arial"/>
                <w:szCs w:val="22"/>
              </w:rPr>
              <w:t xml:space="preserve"> either </w:t>
            </w:r>
            <w:r w:rsidR="008A0D5F" w:rsidRPr="00CB1922">
              <w:rPr>
                <w:rFonts w:cs="Arial"/>
                <w:szCs w:val="22"/>
              </w:rPr>
              <w:t>earlier (if the re</w:t>
            </w:r>
            <w:r w:rsidR="007F37A5" w:rsidRPr="00CB1922">
              <w:rPr>
                <w:rFonts w:cs="Arial"/>
                <w:szCs w:val="22"/>
              </w:rPr>
              <w:t>payment obligation increases</w:t>
            </w:r>
            <w:r w:rsidR="008A0D5F" w:rsidRPr="00CB1922">
              <w:rPr>
                <w:rFonts w:cs="Arial"/>
                <w:szCs w:val="22"/>
              </w:rPr>
              <w:t xml:space="preserve">) or later (if </w:t>
            </w:r>
            <w:r w:rsidR="007F37A5" w:rsidRPr="00CB1922">
              <w:rPr>
                <w:rFonts w:cs="Arial"/>
                <w:szCs w:val="22"/>
              </w:rPr>
              <w:t xml:space="preserve">the </w:t>
            </w:r>
            <w:r w:rsidR="008A0D5F" w:rsidRPr="00CB1922">
              <w:rPr>
                <w:rFonts w:cs="Arial"/>
                <w:szCs w:val="22"/>
              </w:rPr>
              <w:t>re</w:t>
            </w:r>
            <w:r w:rsidR="007F37A5" w:rsidRPr="00CB1922">
              <w:rPr>
                <w:rFonts w:cs="Arial"/>
                <w:szCs w:val="22"/>
              </w:rPr>
              <w:t>payment obligation reduces</w:t>
            </w:r>
            <w:r w:rsidR="008A0D5F" w:rsidRPr="00CB1922">
              <w:rPr>
                <w:rFonts w:cs="Arial"/>
                <w:szCs w:val="22"/>
              </w:rPr>
              <w:t>)</w:t>
            </w:r>
            <w:r w:rsidR="00586B07">
              <w:rPr>
                <w:rFonts w:cs="Arial"/>
                <w:szCs w:val="22"/>
              </w:rPr>
              <w:t xml:space="preserve">. </w:t>
            </w:r>
            <w:r w:rsidR="002F7493" w:rsidRPr="00CB1922">
              <w:rPr>
                <w:rFonts w:cs="Arial"/>
                <w:szCs w:val="22"/>
              </w:rPr>
              <w:t>The greater the adjustment in re</w:t>
            </w:r>
            <w:r w:rsidR="00606682" w:rsidRPr="00CB1922">
              <w:rPr>
                <w:rFonts w:cs="Arial"/>
                <w:szCs w:val="22"/>
              </w:rPr>
              <w:t xml:space="preserve">payment obligation </w:t>
            </w:r>
            <w:r w:rsidR="002F7493" w:rsidRPr="00CB1922">
              <w:rPr>
                <w:rFonts w:cs="Arial"/>
                <w:szCs w:val="22"/>
              </w:rPr>
              <w:t>the greater the impact on the loan repayment period</w:t>
            </w:r>
            <w:r w:rsidR="00586B07">
              <w:rPr>
                <w:rFonts w:cs="Arial"/>
                <w:szCs w:val="22"/>
              </w:rPr>
              <w:t xml:space="preserve">. </w:t>
            </w:r>
            <w:r w:rsidR="00606682" w:rsidRPr="00CB1922">
              <w:rPr>
                <w:rFonts w:cs="Arial"/>
                <w:szCs w:val="22"/>
              </w:rPr>
              <w:t>Most</w:t>
            </w:r>
            <w:r w:rsidR="00771B00" w:rsidRPr="00CB1922">
              <w:rPr>
                <w:rFonts w:cs="Arial"/>
                <w:szCs w:val="22"/>
              </w:rPr>
              <w:t xml:space="preserve"> changes to borrowers’ obligations occur in the first 3-4 years following the </w:t>
            </w:r>
            <w:r w:rsidR="00606682" w:rsidRPr="00CB1922">
              <w:rPr>
                <w:rFonts w:cs="Arial"/>
                <w:szCs w:val="22"/>
              </w:rPr>
              <w:t xml:space="preserve">tax </w:t>
            </w:r>
            <w:r w:rsidR="00771B00" w:rsidRPr="00CB1922">
              <w:rPr>
                <w:rFonts w:cs="Arial"/>
                <w:szCs w:val="22"/>
              </w:rPr>
              <w:t>year</w:t>
            </w:r>
            <w:r w:rsidR="00586B07">
              <w:rPr>
                <w:rFonts w:cs="Arial"/>
                <w:szCs w:val="22"/>
              </w:rPr>
              <w:t xml:space="preserve">. </w:t>
            </w:r>
            <w:r w:rsidR="00771B00" w:rsidRPr="00CB1922">
              <w:rPr>
                <w:rFonts w:cs="Arial"/>
                <w:szCs w:val="22"/>
              </w:rPr>
              <w:t>After that the number of changes falls dramatically</w:t>
            </w:r>
            <w:r w:rsidR="00586B07">
              <w:rPr>
                <w:rFonts w:cs="Arial"/>
                <w:szCs w:val="22"/>
              </w:rPr>
              <w:t xml:space="preserve">. </w:t>
            </w:r>
            <w:r w:rsidR="00771B00" w:rsidRPr="00CB1922">
              <w:rPr>
                <w:rFonts w:cs="Arial"/>
                <w:szCs w:val="22"/>
              </w:rPr>
              <w:t xml:space="preserve">In the 2018 year the </w:t>
            </w:r>
            <w:r w:rsidR="00D936FF" w:rsidRPr="00CB1922">
              <w:rPr>
                <w:rFonts w:cs="Arial"/>
                <w:szCs w:val="22"/>
              </w:rPr>
              <w:t xml:space="preserve">number of borrowers who </w:t>
            </w:r>
            <w:r w:rsidR="00771B00" w:rsidRPr="00CB1922">
              <w:rPr>
                <w:rFonts w:cs="Arial"/>
                <w:szCs w:val="22"/>
              </w:rPr>
              <w:t xml:space="preserve">had changes to their repayment obligations for the 2013 or prior years was 1,314, and the total </w:t>
            </w:r>
            <w:r w:rsidR="001E1550" w:rsidRPr="00CB1922">
              <w:rPr>
                <w:rFonts w:cs="Arial"/>
                <w:szCs w:val="22"/>
              </w:rPr>
              <w:t xml:space="preserve">increased </w:t>
            </w:r>
            <w:r w:rsidR="00771B00" w:rsidRPr="00CB1922">
              <w:rPr>
                <w:rFonts w:cs="Arial"/>
                <w:szCs w:val="22"/>
              </w:rPr>
              <w:t xml:space="preserve">repayments </w:t>
            </w:r>
            <w:r w:rsidR="001E1550" w:rsidRPr="00CB1922">
              <w:rPr>
                <w:rFonts w:cs="Arial"/>
                <w:szCs w:val="22"/>
              </w:rPr>
              <w:t xml:space="preserve">obligations </w:t>
            </w:r>
            <w:r w:rsidR="00771B00" w:rsidRPr="00CB1922">
              <w:rPr>
                <w:rFonts w:cs="Arial"/>
                <w:szCs w:val="22"/>
              </w:rPr>
              <w:t>was $1.2 million</w:t>
            </w:r>
            <w:r w:rsidR="001E1550" w:rsidRPr="00CB1922">
              <w:rPr>
                <w:rFonts w:cs="Arial"/>
                <w:szCs w:val="22"/>
              </w:rPr>
              <w:t xml:space="preserve"> (although the amount expected to be collected is less than this)</w:t>
            </w:r>
            <w:r w:rsidR="00586B07">
              <w:rPr>
                <w:rFonts w:cs="Arial"/>
                <w:szCs w:val="22"/>
              </w:rPr>
              <w:t xml:space="preserve">. </w:t>
            </w:r>
            <w:r w:rsidR="00771B00" w:rsidRPr="00CB1922">
              <w:rPr>
                <w:rFonts w:cs="Arial"/>
                <w:szCs w:val="22"/>
              </w:rPr>
              <w:t xml:space="preserve">These figures are expected to reduce </w:t>
            </w:r>
            <w:r w:rsidR="009359DF" w:rsidRPr="005C595B">
              <w:t xml:space="preserve">significantly by 2020 </w:t>
            </w:r>
            <w:r w:rsidR="009359DF">
              <w:t xml:space="preserve">due to Inland Revenue’s continued </w:t>
            </w:r>
            <w:r w:rsidR="009359DF" w:rsidRPr="005C595B">
              <w:t xml:space="preserve">efforts </w:t>
            </w:r>
            <w:r w:rsidR="009359DF">
              <w:t xml:space="preserve">to </w:t>
            </w:r>
            <w:r w:rsidR="009359DF" w:rsidRPr="005C595B">
              <w:t xml:space="preserve">reduce the number of outstanding </w:t>
            </w:r>
            <w:r w:rsidR="00A32C90">
              <w:t xml:space="preserve">tax </w:t>
            </w:r>
            <w:r w:rsidR="009359DF" w:rsidRPr="005C595B">
              <w:t>returns</w:t>
            </w:r>
            <w:r w:rsidR="009359DF">
              <w:t xml:space="preserve"> and to contact non-compliant overseas based borrowers</w:t>
            </w:r>
            <w:r w:rsidR="00771B00" w:rsidRPr="00CB1922">
              <w:rPr>
                <w:rFonts w:cs="Arial"/>
                <w:szCs w:val="22"/>
              </w:rPr>
              <w:t>.</w:t>
            </w:r>
          </w:p>
          <w:bookmarkEnd w:id="9"/>
          <w:p w14:paraId="58158D53" w14:textId="77777777" w:rsidR="000535CE" w:rsidRPr="0069218C" w:rsidRDefault="000535CE" w:rsidP="0069218C">
            <w:pPr>
              <w:spacing w:after="0" w:line="276" w:lineRule="auto"/>
              <w:jc w:val="both"/>
              <w:rPr>
                <w:rFonts w:cs="Arial"/>
                <w:szCs w:val="22"/>
              </w:rPr>
            </w:pPr>
          </w:p>
        </w:tc>
      </w:tr>
    </w:tbl>
    <w:p w14:paraId="7AD54994" w14:textId="15402BC4" w:rsidR="00A279AA" w:rsidRDefault="00A279AA" w:rsidP="00B15F56">
      <w:pPr>
        <w:spacing w:after="0"/>
        <w:rPr>
          <w:rFonts w:cs="Arial"/>
          <w:color w:val="000000"/>
          <w:szCs w:val="22"/>
          <w:lang w:eastAsia="en-AU"/>
        </w:rPr>
      </w:pPr>
    </w:p>
    <w:p w14:paraId="59DBC888" w14:textId="77777777" w:rsidR="00A279AA" w:rsidRDefault="00A279AA">
      <w:pPr>
        <w:spacing w:after="0" w:line="240" w:lineRule="auto"/>
        <w:rPr>
          <w:rFonts w:cs="Arial"/>
          <w:color w:val="000000"/>
          <w:szCs w:val="22"/>
          <w:lang w:eastAsia="en-AU"/>
        </w:rPr>
      </w:pPr>
      <w:r>
        <w:rPr>
          <w:rFonts w:cs="Arial"/>
          <w:color w:val="000000"/>
          <w:szCs w:val="22"/>
          <w:lang w:eastAsia="en-AU"/>
        </w:rPr>
        <w:br w:type="page"/>
      </w:r>
    </w:p>
    <w:p w14:paraId="2315C556" w14:textId="77777777" w:rsidR="00AC4742" w:rsidRPr="00AC4742" w:rsidRDefault="00AC4742" w:rsidP="00B15F56">
      <w:pPr>
        <w:spacing w:after="0"/>
        <w:rPr>
          <w:rFonts w:cs="Arial"/>
          <w:color w:val="000000"/>
          <w:szCs w:val="22"/>
          <w:lang w:eastAsia="en-AU"/>
        </w:rPr>
      </w:pPr>
    </w:p>
    <w:p w14:paraId="0D7BB76F" w14:textId="77777777" w:rsidR="00051A88" w:rsidRDefault="00051A88" w:rsidP="006F1EFF">
      <w:pPr>
        <w:pStyle w:val="Heading2"/>
      </w:pPr>
      <w:r w:rsidRPr="002D5734">
        <w:t xml:space="preserve">Section </w:t>
      </w:r>
      <w:r w:rsidR="00C77099">
        <w:t>5</w:t>
      </w:r>
      <w:r w:rsidRPr="002D5734">
        <w:t xml:space="preserve">:  Stakeholder views </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051A88" w:rsidRPr="0069218C" w14:paraId="436A48C2" w14:textId="77777777" w:rsidTr="00800DEC">
        <w:trPr>
          <w:trHeight w:val="77"/>
        </w:trPr>
        <w:tc>
          <w:tcPr>
            <w:tcW w:w="5000" w:type="pct"/>
            <w:tcBorders>
              <w:top w:val="single" w:sz="4" w:space="0" w:color="auto"/>
              <w:left w:val="single" w:sz="4" w:space="0" w:color="auto"/>
              <w:bottom w:val="single" w:sz="4" w:space="0" w:color="auto"/>
              <w:right w:val="single" w:sz="4" w:space="0" w:color="auto"/>
            </w:tcBorders>
            <w:shd w:val="clear" w:color="auto" w:fill="99CDDD"/>
          </w:tcPr>
          <w:p w14:paraId="5E38C855" w14:textId="77777777" w:rsidR="00051A88" w:rsidRPr="00886DFF" w:rsidRDefault="00D9793F" w:rsidP="00EC6FAD">
            <w:pPr>
              <w:pStyle w:val="TableHeadings"/>
              <w:rPr>
                <w:szCs w:val="22"/>
              </w:rPr>
            </w:pPr>
            <w:r w:rsidRPr="00886DFF">
              <w:rPr>
                <w:szCs w:val="22"/>
              </w:rPr>
              <w:t>5</w:t>
            </w:r>
            <w:r w:rsidR="00051A88" w:rsidRPr="00886DFF">
              <w:rPr>
                <w:szCs w:val="22"/>
              </w:rPr>
              <w:t xml:space="preserve">.1   What do stakeholders think about the problem and the proposed solution? </w:t>
            </w:r>
          </w:p>
        </w:tc>
      </w:tr>
      <w:tr w:rsidR="00F132B2" w:rsidRPr="0069218C" w14:paraId="4F5FBF0D" w14:textId="77777777" w:rsidTr="00D02AAF">
        <w:trPr>
          <w:trHeight w:val="357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F76192F" w14:textId="77777777" w:rsidR="00482830" w:rsidRPr="00D02AAF" w:rsidRDefault="00482830" w:rsidP="00F522AE">
            <w:pPr>
              <w:spacing w:after="0" w:line="276" w:lineRule="auto"/>
              <w:rPr>
                <w:rFonts w:cs="Arial"/>
                <w:szCs w:val="22"/>
              </w:rPr>
            </w:pPr>
          </w:p>
          <w:p w14:paraId="50B110B1" w14:textId="103749D6" w:rsidR="00482830" w:rsidRPr="00D02AAF" w:rsidRDefault="00D02AAF" w:rsidP="00F522AE">
            <w:pPr>
              <w:spacing w:after="0" w:line="240" w:lineRule="auto"/>
              <w:rPr>
                <w:rFonts w:cs="Arial"/>
                <w:szCs w:val="22"/>
              </w:rPr>
            </w:pPr>
            <w:r w:rsidRPr="00553112">
              <w:rPr>
                <w:szCs w:val="22"/>
              </w:rPr>
              <w:t xml:space="preserve">The timeframe to enact legislation and implement student loans into the </w:t>
            </w:r>
            <w:r w:rsidR="006F3BF1" w:rsidRPr="00EA1675">
              <w:rPr>
                <w:rFonts w:cs="Arial"/>
                <w:szCs w:val="22"/>
              </w:rPr>
              <w:t xml:space="preserve">new </w:t>
            </w:r>
            <w:r w:rsidR="006F3BF1">
              <w:rPr>
                <w:rFonts w:cs="Arial"/>
                <w:szCs w:val="22"/>
              </w:rPr>
              <w:t>systems and processes</w:t>
            </w:r>
            <w:r w:rsidR="006F3BF1" w:rsidRPr="00553112">
              <w:rPr>
                <w:szCs w:val="22"/>
              </w:rPr>
              <w:t xml:space="preserve"> </w:t>
            </w:r>
            <w:r w:rsidRPr="00553112">
              <w:rPr>
                <w:szCs w:val="22"/>
              </w:rPr>
              <w:t xml:space="preserve">has limited </w:t>
            </w:r>
            <w:r>
              <w:rPr>
                <w:szCs w:val="22"/>
              </w:rPr>
              <w:t xml:space="preserve">Inland Revenue’s </w:t>
            </w:r>
            <w:r w:rsidRPr="00553112">
              <w:rPr>
                <w:szCs w:val="22"/>
              </w:rPr>
              <w:t xml:space="preserve">ability to consult with those </w:t>
            </w:r>
            <w:r>
              <w:rPr>
                <w:szCs w:val="22"/>
              </w:rPr>
              <w:t xml:space="preserve">borrowers </w:t>
            </w:r>
            <w:r w:rsidRPr="00553112">
              <w:rPr>
                <w:szCs w:val="22"/>
              </w:rPr>
              <w:t>affected by the preferred option</w:t>
            </w:r>
            <w:r w:rsidR="00586B07">
              <w:rPr>
                <w:szCs w:val="22"/>
              </w:rPr>
              <w:t xml:space="preserve">. </w:t>
            </w:r>
            <w:r w:rsidR="00482830" w:rsidRPr="00D02AAF">
              <w:rPr>
                <w:rFonts w:cs="Arial"/>
                <w:szCs w:val="22"/>
              </w:rPr>
              <w:t>This means that the problem identification</w:t>
            </w:r>
            <w:r w:rsidR="004D342C" w:rsidRPr="00D02AAF">
              <w:rPr>
                <w:rFonts w:cs="Arial"/>
                <w:szCs w:val="22"/>
              </w:rPr>
              <w:t>,</w:t>
            </w:r>
            <w:r w:rsidR="00482830" w:rsidRPr="00D02AAF">
              <w:rPr>
                <w:rFonts w:cs="Arial"/>
                <w:szCs w:val="22"/>
              </w:rPr>
              <w:t xml:space="preserve"> options</w:t>
            </w:r>
            <w:r>
              <w:rPr>
                <w:rFonts w:cs="Arial"/>
                <w:szCs w:val="22"/>
              </w:rPr>
              <w:t xml:space="preserve"> identification</w:t>
            </w:r>
            <w:r w:rsidR="004D342C" w:rsidRPr="00D02AAF">
              <w:rPr>
                <w:rFonts w:cs="Arial"/>
                <w:szCs w:val="22"/>
              </w:rPr>
              <w:t>, and impacts</w:t>
            </w:r>
            <w:r w:rsidR="00482830" w:rsidRPr="00D02AAF">
              <w:rPr>
                <w:rFonts w:cs="Arial"/>
                <w:szCs w:val="22"/>
              </w:rPr>
              <w:t xml:space="preserve"> have been generated by officials based on the information available. It is recognised that </w:t>
            </w:r>
            <w:r w:rsidR="004D342C" w:rsidRPr="00D02AAF">
              <w:rPr>
                <w:rFonts w:cs="Arial"/>
                <w:szCs w:val="22"/>
              </w:rPr>
              <w:t>consultation with those affected by</w:t>
            </w:r>
            <w:r w:rsidR="00A32C90">
              <w:rPr>
                <w:rFonts w:cs="Arial"/>
                <w:szCs w:val="22"/>
              </w:rPr>
              <w:t xml:space="preserve"> a</w:t>
            </w:r>
            <w:r w:rsidR="004D342C" w:rsidRPr="00D02AAF">
              <w:rPr>
                <w:rFonts w:cs="Arial"/>
                <w:szCs w:val="22"/>
              </w:rPr>
              <w:t xml:space="preserve"> change is </w:t>
            </w:r>
            <w:r w:rsidR="00482830" w:rsidRPr="00D02AAF">
              <w:rPr>
                <w:rFonts w:cs="Arial"/>
                <w:szCs w:val="22"/>
              </w:rPr>
              <w:t xml:space="preserve">an important part of the </w:t>
            </w:r>
            <w:r w:rsidR="00F94B71">
              <w:rPr>
                <w:rFonts w:cs="Arial"/>
                <w:szCs w:val="22"/>
              </w:rPr>
              <w:t>G</w:t>
            </w:r>
            <w:r w:rsidR="00482830" w:rsidRPr="00D02AAF">
              <w:rPr>
                <w:rFonts w:cs="Arial"/>
                <w:szCs w:val="22"/>
              </w:rPr>
              <w:t xml:space="preserve">eneric </w:t>
            </w:r>
            <w:r w:rsidR="00F94B71">
              <w:rPr>
                <w:rFonts w:cs="Arial"/>
                <w:szCs w:val="22"/>
              </w:rPr>
              <w:t>T</w:t>
            </w:r>
            <w:r w:rsidR="00482830" w:rsidRPr="00D02AAF">
              <w:rPr>
                <w:rFonts w:cs="Arial"/>
                <w:szCs w:val="22"/>
              </w:rPr>
              <w:t xml:space="preserve">ax </w:t>
            </w:r>
            <w:r w:rsidR="00F94B71">
              <w:rPr>
                <w:rFonts w:cs="Arial"/>
                <w:szCs w:val="22"/>
              </w:rPr>
              <w:t>P</w:t>
            </w:r>
            <w:r w:rsidR="00482830" w:rsidRPr="00D02AAF">
              <w:rPr>
                <w:rFonts w:cs="Arial"/>
                <w:szCs w:val="22"/>
              </w:rPr>
              <w:t xml:space="preserve">olicy </w:t>
            </w:r>
            <w:r w:rsidR="00F94B71">
              <w:rPr>
                <w:rFonts w:cs="Arial"/>
                <w:szCs w:val="22"/>
              </w:rPr>
              <w:t>P</w:t>
            </w:r>
            <w:r w:rsidR="00482830" w:rsidRPr="00D02AAF">
              <w:rPr>
                <w:rFonts w:cs="Arial"/>
                <w:szCs w:val="22"/>
              </w:rPr>
              <w:t>rocess.</w:t>
            </w:r>
          </w:p>
          <w:p w14:paraId="33DA305E" w14:textId="77777777" w:rsidR="004D342C" w:rsidRPr="00D02AAF" w:rsidRDefault="004D342C" w:rsidP="00F522AE">
            <w:pPr>
              <w:spacing w:after="0" w:line="276" w:lineRule="auto"/>
              <w:rPr>
                <w:rFonts w:cs="Arial"/>
                <w:szCs w:val="22"/>
              </w:rPr>
            </w:pPr>
          </w:p>
          <w:p w14:paraId="547E465C" w14:textId="3418633F" w:rsidR="004D342C" w:rsidRDefault="004D342C" w:rsidP="00F522AE">
            <w:pPr>
              <w:spacing w:after="0" w:line="240" w:lineRule="auto"/>
              <w:rPr>
                <w:rFonts w:cs="Arial"/>
                <w:szCs w:val="22"/>
              </w:rPr>
            </w:pPr>
            <w:r>
              <w:rPr>
                <w:szCs w:val="22"/>
              </w:rPr>
              <w:t xml:space="preserve">However, mitigating factors are that </w:t>
            </w:r>
            <w:r w:rsidRPr="005C595B">
              <w:rPr>
                <w:szCs w:val="22"/>
              </w:rPr>
              <w:t>the number of borrowers likely to be impacted in future by</w:t>
            </w:r>
            <w:r>
              <w:rPr>
                <w:szCs w:val="22"/>
              </w:rPr>
              <w:t xml:space="preserve"> the preferred option is small</w:t>
            </w:r>
            <w:r w:rsidR="00D02AAF">
              <w:rPr>
                <w:szCs w:val="22"/>
              </w:rPr>
              <w:t xml:space="preserve"> and </w:t>
            </w:r>
            <w:r w:rsidR="00500C15">
              <w:rPr>
                <w:szCs w:val="22"/>
              </w:rPr>
              <w:t>expected to reduce in future</w:t>
            </w:r>
            <w:r w:rsidR="00586B07">
              <w:rPr>
                <w:szCs w:val="22"/>
              </w:rPr>
              <w:t xml:space="preserve">. </w:t>
            </w:r>
            <w:r w:rsidR="00500C15">
              <w:rPr>
                <w:szCs w:val="22"/>
              </w:rPr>
              <w:t xml:space="preserve">Also, </w:t>
            </w:r>
            <w:bookmarkStart w:id="10" w:name="_Hlk534967870"/>
            <w:r w:rsidR="00D02AAF">
              <w:rPr>
                <w:szCs w:val="22"/>
              </w:rPr>
              <w:t>the</w:t>
            </w:r>
            <w:r w:rsidR="00D02AAF" w:rsidRPr="00D02AAF">
              <w:rPr>
                <w:rFonts w:cs="Arial"/>
                <w:szCs w:val="22"/>
              </w:rPr>
              <w:t>re will be an opportunity for the public to submit on the measure during the Select Committee process and feedback will be considered at that point.</w:t>
            </w:r>
            <w:bookmarkEnd w:id="10"/>
          </w:p>
          <w:p w14:paraId="0B5E2AD1" w14:textId="77777777" w:rsidR="00444869" w:rsidRDefault="00444869" w:rsidP="00F522AE">
            <w:pPr>
              <w:spacing w:after="0" w:line="240" w:lineRule="auto"/>
              <w:rPr>
                <w:rFonts w:cs="Arial"/>
                <w:szCs w:val="22"/>
              </w:rPr>
            </w:pPr>
          </w:p>
          <w:p w14:paraId="369D3CEA" w14:textId="77777777" w:rsidR="00444869" w:rsidRPr="00444869" w:rsidRDefault="00444869" w:rsidP="00F522AE">
            <w:pPr>
              <w:spacing w:after="0"/>
              <w:rPr>
                <w:rFonts w:cs="Arial"/>
                <w:szCs w:val="22"/>
              </w:rPr>
            </w:pPr>
            <w:r>
              <w:rPr>
                <w:rFonts w:cs="Arial"/>
                <w:szCs w:val="22"/>
              </w:rPr>
              <w:t xml:space="preserve">The Ministry of Education </w:t>
            </w:r>
            <w:r w:rsidRPr="00444869">
              <w:rPr>
                <w:rFonts w:cs="Arial"/>
                <w:szCs w:val="22"/>
              </w:rPr>
              <w:t xml:space="preserve">have been consulted in developing the </w:t>
            </w:r>
            <w:r w:rsidR="00D2024E">
              <w:rPr>
                <w:rFonts w:cs="Arial"/>
                <w:szCs w:val="22"/>
              </w:rPr>
              <w:t xml:space="preserve">options </w:t>
            </w:r>
            <w:r w:rsidRPr="00444869">
              <w:rPr>
                <w:rFonts w:cs="Arial"/>
                <w:szCs w:val="22"/>
              </w:rPr>
              <w:t xml:space="preserve">and agree with </w:t>
            </w:r>
            <w:r w:rsidR="00771B00">
              <w:rPr>
                <w:rFonts w:cs="Arial"/>
                <w:szCs w:val="22"/>
              </w:rPr>
              <w:t xml:space="preserve">the </w:t>
            </w:r>
            <w:r w:rsidRPr="00444869">
              <w:rPr>
                <w:rFonts w:cs="Arial"/>
                <w:szCs w:val="22"/>
              </w:rPr>
              <w:t>recommended proposal.</w:t>
            </w:r>
          </w:p>
          <w:p w14:paraId="49369E32" w14:textId="77777777" w:rsidR="00482830" w:rsidRPr="0069218C" w:rsidRDefault="00482830" w:rsidP="00F522AE">
            <w:pPr>
              <w:spacing w:after="0" w:line="276" w:lineRule="auto"/>
              <w:rPr>
                <w:rFonts w:cs="Arial"/>
                <w:szCs w:val="22"/>
              </w:rPr>
            </w:pPr>
          </w:p>
        </w:tc>
      </w:tr>
    </w:tbl>
    <w:p w14:paraId="26E04321" w14:textId="26A42CD3" w:rsidR="00765467" w:rsidRDefault="00765467" w:rsidP="00F522AE"/>
    <w:p w14:paraId="047C1C76" w14:textId="77777777" w:rsidR="00EE4E3B" w:rsidRPr="008A6442" w:rsidRDefault="00EE4E3B" w:rsidP="006F1EFF">
      <w:pPr>
        <w:pStyle w:val="Heading2"/>
      </w:pPr>
      <w:r w:rsidRPr="002D5734">
        <w:t xml:space="preserve">Section </w:t>
      </w:r>
      <w:r w:rsidR="0033708B" w:rsidRPr="002D5734">
        <w:t>6</w:t>
      </w:r>
      <w:r w:rsidRPr="002D5734">
        <w:t xml:space="preserve">:  </w:t>
      </w:r>
      <w:r w:rsidR="0033708B" w:rsidRPr="002D5734">
        <w:t>Implementation and o</w:t>
      </w:r>
      <w:r w:rsidR="005D5BF0" w:rsidRPr="002D5734">
        <w:t xml:space="preserve">peration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72"/>
      </w:tblGrid>
      <w:tr w:rsidR="002D5734" w:rsidRPr="0069218C" w14:paraId="03CD40A0" w14:textId="77777777" w:rsidTr="00800DEC">
        <w:trPr>
          <w:trHeight w:val="197"/>
        </w:trPr>
        <w:tc>
          <w:tcPr>
            <w:tcW w:w="9072" w:type="dxa"/>
            <w:shd w:val="clear" w:color="auto" w:fill="99CDDD"/>
            <w:hideMark/>
          </w:tcPr>
          <w:p w14:paraId="285C9BAF" w14:textId="77777777" w:rsidR="00EE4E3B" w:rsidRPr="00886DFF" w:rsidRDefault="00EE4E3B" w:rsidP="00B952B7">
            <w:pPr>
              <w:pStyle w:val="TableHeadings"/>
              <w:rPr>
                <w:szCs w:val="22"/>
                <w:lang w:eastAsia="en-AU"/>
              </w:rPr>
            </w:pPr>
            <w:r w:rsidRPr="00886DFF">
              <w:rPr>
                <w:szCs w:val="22"/>
                <w:lang w:eastAsia="en-AU"/>
              </w:rPr>
              <w:br w:type="page"/>
            </w:r>
            <w:r w:rsidR="0033708B" w:rsidRPr="00886DFF">
              <w:rPr>
                <w:szCs w:val="22"/>
                <w:lang w:eastAsia="en-AU"/>
              </w:rPr>
              <w:t>6</w:t>
            </w:r>
            <w:r w:rsidR="002A56F0" w:rsidRPr="00886DFF">
              <w:rPr>
                <w:szCs w:val="22"/>
                <w:lang w:eastAsia="en-AU"/>
              </w:rPr>
              <w:t xml:space="preserve">.1   </w:t>
            </w:r>
            <w:r w:rsidRPr="00886DFF">
              <w:rPr>
                <w:szCs w:val="22"/>
                <w:lang w:eastAsia="en-AU"/>
              </w:rPr>
              <w:t xml:space="preserve">How will the new arrangements </w:t>
            </w:r>
            <w:r w:rsidR="00217894" w:rsidRPr="00886DFF">
              <w:rPr>
                <w:szCs w:val="22"/>
                <w:lang w:eastAsia="en-AU"/>
              </w:rPr>
              <w:t>be given effect</w:t>
            </w:r>
            <w:r w:rsidRPr="00886DFF">
              <w:rPr>
                <w:szCs w:val="22"/>
                <w:lang w:eastAsia="en-AU"/>
              </w:rPr>
              <w:t>?</w:t>
            </w:r>
          </w:p>
        </w:tc>
      </w:tr>
      <w:tr w:rsidR="00F132B2" w:rsidRPr="0069218C" w14:paraId="69D49855" w14:textId="77777777" w:rsidTr="00553112">
        <w:trPr>
          <w:trHeight w:val="4636"/>
        </w:trPr>
        <w:tc>
          <w:tcPr>
            <w:tcW w:w="9072" w:type="dxa"/>
            <w:shd w:val="clear" w:color="auto" w:fill="auto"/>
          </w:tcPr>
          <w:p w14:paraId="7434E881" w14:textId="77777777" w:rsidR="007F54BD" w:rsidRDefault="007F54BD" w:rsidP="00F522AE">
            <w:pPr>
              <w:spacing w:after="0" w:line="240" w:lineRule="auto"/>
              <w:rPr>
                <w:szCs w:val="22"/>
                <w:lang w:val="en-AU" w:eastAsia="en-US"/>
              </w:rPr>
            </w:pPr>
          </w:p>
          <w:p w14:paraId="2CC8876A" w14:textId="77777777" w:rsidR="00D02AAF" w:rsidRDefault="007F54BD" w:rsidP="00F522AE">
            <w:pPr>
              <w:spacing w:after="0" w:line="240" w:lineRule="auto"/>
              <w:rPr>
                <w:szCs w:val="22"/>
                <w:lang w:val="en-AU" w:eastAsia="en-US"/>
              </w:rPr>
            </w:pPr>
            <w:r>
              <w:rPr>
                <w:szCs w:val="22"/>
                <w:lang w:val="en-AU" w:eastAsia="en-US"/>
              </w:rPr>
              <w:t>It is intended that t</w:t>
            </w:r>
            <w:r w:rsidR="00D02AAF">
              <w:rPr>
                <w:szCs w:val="22"/>
                <w:lang w:val="en-AU" w:eastAsia="en-US"/>
              </w:rPr>
              <w:t xml:space="preserve">he preferred </w:t>
            </w:r>
            <w:r w:rsidR="00D2024E">
              <w:rPr>
                <w:szCs w:val="22"/>
                <w:lang w:val="en-AU" w:eastAsia="en-US"/>
              </w:rPr>
              <w:t xml:space="preserve">option </w:t>
            </w:r>
            <w:r w:rsidR="00D02AAF">
              <w:rPr>
                <w:szCs w:val="22"/>
                <w:lang w:val="en-AU" w:eastAsia="en-US"/>
              </w:rPr>
              <w:t xml:space="preserve">be </w:t>
            </w:r>
            <w:r>
              <w:rPr>
                <w:szCs w:val="22"/>
                <w:lang w:val="en-AU" w:eastAsia="en-US"/>
              </w:rPr>
              <w:t xml:space="preserve">included in the next available </w:t>
            </w:r>
            <w:r w:rsidR="00451BE0" w:rsidRPr="007C18CD">
              <w:rPr>
                <w:szCs w:val="22"/>
                <w:lang w:val="en-AU" w:eastAsia="en-US"/>
              </w:rPr>
              <w:t xml:space="preserve">taxation bill </w:t>
            </w:r>
            <w:r w:rsidR="00D02AAF">
              <w:rPr>
                <w:szCs w:val="22"/>
                <w:lang w:val="en-AU" w:eastAsia="en-US"/>
              </w:rPr>
              <w:t xml:space="preserve">which is </w:t>
            </w:r>
            <w:r>
              <w:rPr>
                <w:szCs w:val="22"/>
                <w:lang w:val="en-AU" w:eastAsia="en-US"/>
              </w:rPr>
              <w:t xml:space="preserve">expected </w:t>
            </w:r>
            <w:r w:rsidR="00D02AAF">
              <w:rPr>
                <w:szCs w:val="22"/>
                <w:lang w:val="en-AU" w:eastAsia="en-US"/>
              </w:rPr>
              <w:t xml:space="preserve">to be </w:t>
            </w:r>
            <w:r w:rsidR="00451BE0" w:rsidRPr="007C18CD">
              <w:rPr>
                <w:szCs w:val="22"/>
                <w:lang w:val="en-AU" w:eastAsia="en-US"/>
              </w:rPr>
              <w:t xml:space="preserve">introduced into Parliament </w:t>
            </w:r>
            <w:r w:rsidR="00C10BF7">
              <w:rPr>
                <w:szCs w:val="22"/>
                <w:lang w:val="en-AU" w:eastAsia="en-US"/>
              </w:rPr>
              <w:t xml:space="preserve">later </w:t>
            </w:r>
            <w:r w:rsidR="00451BE0" w:rsidRPr="007C18CD">
              <w:rPr>
                <w:szCs w:val="22"/>
                <w:lang w:val="en-AU" w:eastAsia="en-US"/>
              </w:rPr>
              <w:t xml:space="preserve">in </w:t>
            </w:r>
            <w:r w:rsidR="00D2024E">
              <w:rPr>
                <w:szCs w:val="22"/>
                <w:lang w:val="en-AU" w:eastAsia="en-US"/>
              </w:rPr>
              <w:t>the year</w:t>
            </w:r>
            <w:r w:rsidR="00451BE0" w:rsidRPr="007C18CD">
              <w:rPr>
                <w:szCs w:val="22"/>
                <w:lang w:val="en-AU" w:eastAsia="en-US"/>
              </w:rPr>
              <w:t>.</w:t>
            </w:r>
          </w:p>
          <w:p w14:paraId="23FFAC60" w14:textId="77777777" w:rsidR="00D02AAF" w:rsidRDefault="00D02AAF" w:rsidP="00F522AE">
            <w:pPr>
              <w:spacing w:after="0" w:line="240" w:lineRule="auto"/>
              <w:rPr>
                <w:szCs w:val="22"/>
                <w:lang w:val="en-AU" w:eastAsia="en-US"/>
              </w:rPr>
            </w:pPr>
          </w:p>
          <w:p w14:paraId="2284A190" w14:textId="03585254" w:rsidR="007F54BD" w:rsidRDefault="00D02AAF" w:rsidP="00F522AE">
            <w:pPr>
              <w:spacing w:after="0" w:line="240" w:lineRule="auto"/>
              <w:rPr>
                <w:szCs w:val="22"/>
                <w:lang w:val="en-AU" w:eastAsia="en-US"/>
              </w:rPr>
            </w:pPr>
            <w:r>
              <w:rPr>
                <w:szCs w:val="22"/>
                <w:lang w:val="en-AU" w:eastAsia="en-US"/>
              </w:rPr>
              <w:t xml:space="preserve">Inland Revenue will be responsible for the operation of this preferred </w:t>
            </w:r>
            <w:r w:rsidR="00D2024E">
              <w:rPr>
                <w:szCs w:val="22"/>
                <w:lang w:val="en-AU" w:eastAsia="en-US"/>
              </w:rPr>
              <w:t>option</w:t>
            </w:r>
            <w:r w:rsidR="007F54BD">
              <w:rPr>
                <w:szCs w:val="22"/>
                <w:lang w:val="en-AU" w:eastAsia="en-US"/>
              </w:rPr>
              <w:t xml:space="preserve"> and this will form part of </w:t>
            </w:r>
            <w:r w:rsidR="00F94B71">
              <w:rPr>
                <w:szCs w:val="22"/>
                <w:lang w:val="en-AU" w:eastAsia="en-US"/>
              </w:rPr>
              <w:t>its</w:t>
            </w:r>
            <w:r w:rsidR="007F54BD">
              <w:rPr>
                <w:szCs w:val="22"/>
                <w:lang w:val="en-AU" w:eastAsia="en-US"/>
              </w:rPr>
              <w:t xml:space="preserve"> business as usual function</w:t>
            </w:r>
            <w:r w:rsidR="00586B07">
              <w:rPr>
                <w:szCs w:val="22"/>
                <w:lang w:val="en-AU" w:eastAsia="en-US"/>
              </w:rPr>
              <w:t xml:space="preserve">. </w:t>
            </w:r>
            <w:r w:rsidR="007F54BD">
              <w:rPr>
                <w:szCs w:val="22"/>
                <w:lang w:val="en-AU" w:eastAsia="en-US"/>
              </w:rPr>
              <w:t>T</w:t>
            </w:r>
            <w:r w:rsidR="007F54BD" w:rsidRPr="007C18CD">
              <w:rPr>
                <w:szCs w:val="22"/>
                <w:lang w:val="en-AU" w:eastAsia="en-US"/>
              </w:rPr>
              <w:t xml:space="preserve">he preferred option will reduce the implementation risks associated with transferring the </w:t>
            </w:r>
            <w:r w:rsidR="00194BB2">
              <w:rPr>
                <w:szCs w:val="22"/>
                <w:lang w:val="en-AU" w:eastAsia="en-US"/>
              </w:rPr>
              <w:t>Student Loan Scheme</w:t>
            </w:r>
            <w:r w:rsidR="007F54BD" w:rsidRPr="007C18CD">
              <w:rPr>
                <w:szCs w:val="22"/>
                <w:lang w:val="en-AU" w:eastAsia="en-US"/>
              </w:rPr>
              <w:t xml:space="preserve"> from the current computer platform to the </w:t>
            </w:r>
            <w:r w:rsidR="006F3BF1" w:rsidRPr="00EA1675">
              <w:rPr>
                <w:rFonts w:cs="Arial"/>
                <w:szCs w:val="22"/>
              </w:rPr>
              <w:t xml:space="preserve">new </w:t>
            </w:r>
            <w:r w:rsidR="006F3BF1">
              <w:rPr>
                <w:rFonts w:cs="Arial"/>
                <w:szCs w:val="22"/>
              </w:rPr>
              <w:t>systems and processes</w:t>
            </w:r>
            <w:r w:rsidR="007F54BD" w:rsidRPr="007C18CD">
              <w:rPr>
                <w:szCs w:val="22"/>
                <w:lang w:val="en-AU" w:eastAsia="en-US"/>
              </w:rPr>
              <w:t>.</w:t>
            </w:r>
          </w:p>
          <w:p w14:paraId="5536DE1D" w14:textId="77777777" w:rsidR="007F54BD" w:rsidRPr="007C18CD" w:rsidRDefault="007F54BD" w:rsidP="00F522AE">
            <w:pPr>
              <w:spacing w:after="0" w:line="240" w:lineRule="auto"/>
              <w:rPr>
                <w:szCs w:val="22"/>
                <w:lang w:val="en-AU" w:eastAsia="en-US"/>
              </w:rPr>
            </w:pPr>
          </w:p>
          <w:p w14:paraId="34F3DF58" w14:textId="6E5B126A" w:rsidR="00451BE0" w:rsidRPr="007C18CD" w:rsidRDefault="00451BE0" w:rsidP="00F522AE">
            <w:pPr>
              <w:spacing w:after="0" w:line="240" w:lineRule="auto"/>
              <w:rPr>
                <w:szCs w:val="22"/>
                <w:lang w:val="en-AU" w:eastAsia="en-US"/>
              </w:rPr>
            </w:pPr>
            <w:r w:rsidRPr="007C18CD">
              <w:rPr>
                <w:szCs w:val="22"/>
                <w:lang w:val="en-AU" w:eastAsia="en-US"/>
              </w:rPr>
              <w:t xml:space="preserve">It is proposed that </w:t>
            </w:r>
            <w:r w:rsidR="007C18CD">
              <w:rPr>
                <w:szCs w:val="22"/>
                <w:lang w:val="en-AU" w:eastAsia="en-US"/>
              </w:rPr>
              <w:t>legislation</w:t>
            </w:r>
            <w:r w:rsidRPr="007C18CD">
              <w:rPr>
                <w:szCs w:val="22"/>
                <w:lang w:val="en-AU" w:eastAsia="en-US"/>
              </w:rPr>
              <w:t xml:space="preserve"> apply </w:t>
            </w:r>
            <w:r w:rsidR="007C18CD">
              <w:rPr>
                <w:szCs w:val="22"/>
                <w:lang w:val="en-AU" w:eastAsia="en-US"/>
              </w:rPr>
              <w:t xml:space="preserve">to </w:t>
            </w:r>
            <w:r w:rsidR="00D2024E">
              <w:rPr>
                <w:szCs w:val="22"/>
                <w:lang w:val="en-AU" w:eastAsia="en-US"/>
              </w:rPr>
              <w:t xml:space="preserve">limit </w:t>
            </w:r>
            <w:r w:rsidR="006F3BF1">
              <w:rPr>
                <w:szCs w:val="22"/>
                <w:lang w:val="en-AU" w:eastAsia="en-US"/>
              </w:rPr>
              <w:t xml:space="preserve">changes in repayment obligations for the 2013 or prior years where the change occurs </w:t>
            </w:r>
            <w:r w:rsidRPr="007C18CD">
              <w:rPr>
                <w:szCs w:val="22"/>
                <w:lang w:val="en-AU" w:eastAsia="en-US"/>
              </w:rPr>
              <w:t>on or after April 2020</w:t>
            </w:r>
            <w:r w:rsidR="00586B07">
              <w:rPr>
                <w:szCs w:val="22"/>
                <w:lang w:val="en-AU" w:eastAsia="en-US"/>
              </w:rPr>
              <w:t xml:space="preserve">. </w:t>
            </w:r>
            <w:r w:rsidRPr="007C18CD">
              <w:rPr>
                <w:szCs w:val="22"/>
                <w:lang w:val="en-AU" w:eastAsia="en-US"/>
              </w:rPr>
              <w:t xml:space="preserve">This will enable </w:t>
            </w:r>
            <w:proofErr w:type="gramStart"/>
            <w:r w:rsidRPr="007C18CD">
              <w:rPr>
                <w:szCs w:val="22"/>
                <w:lang w:val="en-AU" w:eastAsia="en-US"/>
              </w:rPr>
              <w:t>sufficient</w:t>
            </w:r>
            <w:proofErr w:type="gramEnd"/>
            <w:r w:rsidRPr="007C18CD">
              <w:rPr>
                <w:szCs w:val="22"/>
                <w:lang w:val="en-AU" w:eastAsia="en-US"/>
              </w:rPr>
              <w:t xml:space="preserve"> preparation time for Inland Revenue to implement the changes.</w:t>
            </w:r>
          </w:p>
          <w:p w14:paraId="0ACC0086" w14:textId="77777777" w:rsidR="007F54BD" w:rsidRDefault="007F54BD" w:rsidP="00F522AE">
            <w:pPr>
              <w:spacing w:after="0" w:line="240" w:lineRule="auto"/>
              <w:rPr>
                <w:i/>
                <w:szCs w:val="22"/>
                <w:lang w:val="en-AU" w:eastAsia="en-US"/>
              </w:rPr>
            </w:pPr>
          </w:p>
          <w:p w14:paraId="4F3CC814" w14:textId="77777777" w:rsidR="00451BE0" w:rsidRPr="0069218C" w:rsidRDefault="007F54BD" w:rsidP="00F522AE">
            <w:pPr>
              <w:spacing w:after="0" w:line="240" w:lineRule="auto"/>
              <w:rPr>
                <w:rFonts w:cs="Arial"/>
                <w:szCs w:val="22"/>
              </w:rPr>
            </w:pPr>
            <w:r>
              <w:rPr>
                <w:szCs w:val="22"/>
                <w:lang w:val="en-AU" w:eastAsia="en-US"/>
              </w:rPr>
              <w:t>The proposed approach will be included in the commentary on the taxation bill</w:t>
            </w:r>
            <w:r w:rsidR="00542794">
              <w:rPr>
                <w:szCs w:val="22"/>
                <w:lang w:val="en-AU" w:eastAsia="en-US"/>
              </w:rPr>
              <w:t xml:space="preserve"> and </w:t>
            </w:r>
            <w:r w:rsidR="00542794" w:rsidRPr="007F54BD">
              <w:rPr>
                <w:rFonts w:cs="Arial"/>
                <w:szCs w:val="22"/>
              </w:rPr>
              <w:t>consultation</w:t>
            </w:r>
            <w:r w:rsidRPr="007F54BD">
              <w:rPr>
                <w:rFonts w:cs="Arial"/>
                <w:szCs w:val="22"/>
              </w:rPr>
              <w:t xml:space="preserve"> by select committee is expected to provide a</w:t>
            </w:r>
            <w:r w:rsidR="00542794">
              <w:rPr>
                <w:rFonts w:cs="Arial"/>
                <w:szCs w:val="22"/>
              </w:rPr>
              <w:t>n</w:t>
            </w:r>
            <w:r w:rsidRPr="007F54BD">
              <w:rPr>
                <w:rFonts w:cs="Arial"/>
                <w:szCs w:val="22"/>
              </w:rPr>
              <w:t xml:space="preserve"> opportunity for interested parties to express their views on this proposed change</w:t>
            </w:r>
            <w:r w:rsidR="00542794">
              <w:rPr>
                <w:rFonts w:cs="Arial"/>
                <w:szCs w:val="22"/>
              </w:rPr>
              <w:t>.</w:t>
            </w:r>
          </w:p>
        </w:tc>
      </w:tr>
    </w:tbl>
    <w:p w14:paraId="1BE4D264" w14:textId="77777777" w:rsidR="00A36EC7" w:rsidRPr="00796E63" w:rsidRDefault="00A36EC7" w:rsidP="00F522AE">
      <w:pPr>
        <w:pStyle w:val="Heading2"/>
        <w:rPr>
          <w:sz w:val="22"/>
          <w:szCs w:val="22"/>
        </w:rPr>
      </w:pPr>
    </w:p>
    <w:p w14:paraId="3468142E" w14:textId="77777777" w:rsidR="00F132B2" w:rsidRPr="008A6442" w:rsidRDefault="00F132B2" w:rsidP="006F1EFF">
      <w:pPr>
        <w:pStyle w:val="Heading2"/>
      </w:pPr>
      <w:r w:rsidRPr="00B952B7">
        <w:t xml:space="preserve">Section 7:  Monitoring, </w:t>
      </w:r>
      <w:r w:rsidRPr="00030EC1">
        <w:t>evalu</w:t>
      </w:r>
      <w:r w:rsidRPr="00B952B7">
        <w:t>ation and review</w:t>
      </w:r>
    </w:p>
    <w:tbl>
      <w:tblPr>
        <w:tblW w:w="9072" w:type="dxa"/>
        <w:tblInd w:w="-5" w:type="dxa"/>
        <w:tblLook w:val="0480" w:firstRow="0" w:lastRow="0" w:firstColumn="1" w:lastColumn="0" w:noHBand="0" w:noVBand="1"/>
      </w:tblPr>
      <w:tblGrid>
        <w:gridCol w:w="9072"/>
      </w:tblGrid>
      <w:tr w:rsidR="00F132B2" w:rsidRPr="0069218C" w14:paraId="46685F21" w14:textId="77777777" w:rsidTr="00800DEC">
        <w:trPr>
          <w:trHeight w:val="77"/>
        </w:trPr>
        <w:tc>
          <w:tcPr>
            <w:tcW w:w="9072" w:type="dxa"/>
            <w:tcBorders>
              <w:top w:val="single" w:sz="4" w:space="0" w:color="auto"/>
              <w:left w:val="single" w:sz="4" w:space="0" w:color="auto"/>
              <w:bottom w:val="single" w:sz="4" w:space="0" w:color="auto"/>
              <w:right w:val="single" w:sz="4" w:space="0" w:color="auto"/>
            </w:tcBorders>
            <w:shd w:val="clear" w:color="auto" w:fill="99CDDD"/>
          </w:tcPr>
          <w:p w14:paraId="17DAF7FD" w14:textId="77777777" w:rsidR="00F132B2" w:rsidRPr="00886DFF" w:rsidRDefault="00F132B2" w:rsidP="00B952B7">
            <w:pPr>
              <w:pStyle w:val="TableHeadings"/>
              <w:rPr>
                <w:szCs w:val="22"/>
                <w:lang w:eastAsia="en-AU"/>
              </w:rPr>
            </w:pPr>
            <w:r w:rsidRPr="00886DFF">
              <w:rPr>
                <w:szCs w:val="22"/>
                <w:lang w:eastAsia="en-AU"/>
              </w:rPr>
              <w:br w:type="page"/>
              <w:t>7.1   How will the impact of the new arrangements be monitored?</w:t>
            </w:r>
          </w:p>
        </w:tc>
      </w:tr>
      <w:tr w:rsidR="00636E2F" w:rsidRPr="00636E2F" w14:paraId="688EA7D0" w14:textId="77777777" w:rsidTr="00A36EC7">
        <w:trPr>
          <w:trHeight w:val="1692"/>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2D165400" w14:textId="77777777" w:rsidR="00A36EC7" w:rsidRDefault="00A36EC7" w:rsidP="00F522AE">
            <w:pPr>
              <w:spacing w:after="0" w:line="276" w:lineRule="auto"/>
              <w:rPr>
                <w:rFonts w:cs="Arial"/>
                <w:szCs w:val="22"/>
              </w:rPr>
            </w:pPr>
          </w:p>
          <w:p w14:paraId="4CA143C3" w14:textId="36DE6BA9" w:rsidR="00771B00" w:rsidRDefault="00176DEF" w:rsidP="00F522AE">
            <w:pPr>
              <w:spacing w:after="0" w:line="276" w:lineRule="auto"/>
              <w:rPr>
                <w:rFonts w:cs="Arial"/>
                <w:szCs w:val="22"/>
              </w:rPr>
            </w:pPr>
            <w:r w:rsidRPr="000B1F93">
              <w:t xml:space="preserve">Inland Revenue would monitor the effectiveness of the proposed </w:t>
            </w:r>
            <w:r w:rsidR="00D2024E">
              <w:t xml:space="preserve">legislation </w:t>
            </w:r>
            <w:r w:rsidRPr="000B1F93">
              <w:t>in the first 12 months of operation</w:t>
            </w:r>
            <w:r w:rsidR="00586B07">
              <w:t xml:space="preserve">. </w:t>
            </w:r>
            <w:r w:rsidRPr="000B1F93">
              <w:t>If</w:t>
            </w:r>
            <w:r w:rsidRPr="00E3675A">
              <w:rPr>
                <w:rFonts w:cs="Arial"/>
                <w:szCs w:val="22"/>
              </w:rPr>
              <w:t xml:space="preserve"> we identify anything that suggests </w:t>
            </w:r>
            <w:r>
              <w:rPr>
                <w:rFonts w:cs="Arial"/>
                <w:szCs w:val="22"/>
              </w:rPr>
              <w:t>the legislation is not operating as intended, then we will undertake a review.</w:t>
            </w:r>
          </w:p>
          <w:p w14:paraId="61B17FC8" w14:textId="77777777" w:rsidR="00771B00" w:rsidRDefault="00771B00" w:rsidP="00F522AE">
            <w:pPr>
              <w:spacing w:after="0" w:line="276" w:lineRule="auto"/>
              <w:rPr>
                <w:rFonts w:cs="Arial"/>
                <w:szCs w:val="22"/>
              </w:rPr>
            </w:pPr>
          </w:p>
          <w:p w14:paraId="718003BB" w14:textId="0DD515AE" w:rsidR="00176DEF" w:rsidRDefault="00D2024E" w:rsidP="00F522AE">
            <w:pPr>
              <w:spacing w:after="0" w:line="276" w:lineRule="auto"/>
              <w:rPr>
                <w:rFonts w:cs="Arial"/>
                <w:szCs w:val="22"/>
              </w:rPr>
            </w:pPr>
            <w:r>
              <w:rPr>
                <w:rFonts w:cs="Arial"/>
                <w:szCs w:val="22"/>
              </w:rPr>
              <w:lastRenderedPageBreak/>
              <w:t>Inland Revenue currently have metrics to monitor the administration of the Student Loan Scheme</w:t>
            </w:r>
            <w:r w:rsidR="00586B07">
              <w:rPr>
                <w:rFonts w:cs="Arial"/>
                <w:szCs w:val="22"/>
              </w:rPr>
              <w:t xml:space="preserve">. </w:t>
            </w:r>
            <w:r w:rsidR="00771B00">
              <w:rPr>
                <w:rFonts w:cs="Arial"/>
                <w:szCs w:val="22"/>
              </w:rPr>
              <w:t xml:space="preserve">Work is progressing on designing the new system and processes </w:t>
            </w:r>
            <w:r>
              <w:rPr>
                <w:rFonts w:cs="Arial"/>
                <w:szCs w:val="22"/>
              </w:rPr>
              <w:t>and a</w:t>
            </w:r>
            <w:r w:rsidR="00771B00">
              <w:rPr>
                <w:rFonts w:cs="Arial"/>
                <w:szCs w:val="22"/>
              </w:rPr>
              <w:t xml:space="preserve">lthough </w:t>
            </w:r>
            <w:r>
              <w:rPr>
                <w:rFonts w:cs="Arial"/>
                <w:szCs w:val="22"/>
              </w:rPr>
              <w:t xml:space="preserve">work on </w:t>
            </w:r>
            <w:r w:rsidR="00771B00">
              <w:rPr>
                <w:rFonts w:cs="Arial"/>
                <w:szCs w:val="22"/>
              </w:rPr>
              <w:t>the metrics to enable ongoing monitoring of volumes of changes to repayment obligations prior to 2013 ha</w:t>
            </w:r>
            <w:r w:rsidR="00951F24">
              <w:rPr>
                <w:rFonts w:cs="Arial"/>
                <w:szCs w:val="22"/>
              </w:rPr>
              <w:t>s</w:t>
            </w:r>
            <w:r w:rsidR="00771B00">
              <w:rPr>
                <w:rFonts w:cs="Arial"/>
                <w:szCs w:val="22"/>
              </w:rPr>
              <w:t xml:space="preserve"> not </w:t>
            </w:r>
            <w:r>
              <w:rPr>
                <w:rFonts w:cs="Arial"/>
                <w:szCs w:val="22"/>
              </w:rPr>
              <w:t xml:space="preserve">commenced </w:t>
            </w:r>
            <w:r w:rsidR="00771B00">
              <w:rPr>
                <w:rFonts w:cs="Arial"/>
                <w:szCs w:val="22"/>
              </w:rPr>
              <w:t>yet, officials expect the new systems and processes to replicate the existing metrics.</w:t>
            </w:r>
          </w:p>
          <w:p w14:paraId="571C023C" w14:textId="77777777" w:rsidR="00F132B2" w:rsidRPr="000B1F93" w:rsidRDefault="00F132B2" w:rsidP="00A36EC7">
            <w:pPr>
              <w:spacing w:after="0" w:line="276" w:lineRule="auto"/>
              <w:jc w:val="both"/>
            </w:pPr>
          </w:p>
        </w:tc>
      </w:tr>
    </w:tbl>
    <w:p w14:paraId="43C8C59B" w14:textId="77777777" w:rsidR="00F132B2" w:rsidRPr="00A36EC7" w:rsidRDefault="00F132B2" w:rsidP="00567434">
      <w:pPr>
        <w:pStyle w:val="spacer"/>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72"/>
      </w:tblGrid>
      <w:tr w:rsidR="00F132B2" w:rsidRPr="0069218C" w14:paraId="405327CE" w14:textId="77777777" w:rsidTr="00800DEC">
        <w:trPr>
          <w:trHeight w:val="77"/>
        </w:trPr>
        <w:tc>
          <w:tcPr>
            <w:tcW w:w="9072" w:type="dxa"/>
            <w:shd w:val="clear" w:color="auto" w:fill="99CDDD"/>
          </w:tcPr>
          <w:p w14:paraId="0851AC7F" w14:textId="77777777" w:rsidR="00F132B2" w:rsidRPr="00886DFF" w:rsidRDefault="00F132B2" w:rsidP="00EC3D8D">
            <w:pPr>
              <w:pStyle w:val="TableHeadings"/>
              <w:keepNext/>
              <w:rPr>
                <w:szCs w:val="22"/>
                <w:lang w:eastAsia="en-AU"/>
              </w:rPr>
            </w:pPr>
            <w:r w:rsidRPr="00886DFF">
              <w:rPr>
                <w:szCs w:val="22"/>
                <w:lang w:eastAsia="en-AU"/>
              </w:rPr>
              <w:br w:type="page"/>
              <w:t xml:space="preserve">7.2   When and how will the new arrangements be reviewed? </w:t>
            </w:r>
          </w:p>
        </w:tc>
      </w:tr>
      <w:tr w:rsidR="00F132B2" w:rsidRPr="0069218C" w14:paraId="0DE00FE2" w14:textId="77777777" w:rsidTr="00A36EC7">
        <w:trPr>
          <w:trHeight w:val="2675"/>
        </w:trPr>
        <w:tc>
          <w:tcPr>
            <w:tcW w:w="9072" w:type="dxa"/>
            <w:shd w:val="clear" w:color="auto" w:fill="auto"/>
          </w:tcPr>
          <w:p w14:paraId="512ACEFE" w14:textId="77777777" w:rsidR="00E3675A" w:rsidRDefault="00E3675A" w:rsidP="00F522AE">
            <w:pPr>
              <w:spacing w:after="0" w:line="276" w:lineRule="auto"/>
              <w:rPr>
                <w:rFonts w:cs="Arial"/>
                <w:szCs w:val="22"/>
              </w:rPr>
            </w:pPr>
          </w:p>
          <w:p w14:paraId="7253D936" w14:textId="77777777" w:rsidR="00A36EC7" w:rsidRDefault="00A36EC7" w:rsidP="00F522AE">
            <w:pPr>
              <w:spacing w:after="0" w:line="276" w:lineRule="auto"/>
              <w:rPr>
                <w:rFonts w:cs="Arial"/>
                <w:szCs w:val="22"/>
              </w:rPr>
            </w:pPr>
            <w:r w:rsidRPr="00A36EC7">
              <w:rPr>
                <w:rFonts w:cs="Arial"/>
                <w:szCs w:val="22"/>
              </w:rPr>
              <w:t>The final step in the G</w:t>
            </w:r>
            <w:r w:rsidR="00176DEF">
              <w:rPr>
                <w:rFonts w:cs="Arial"/>
                <w:szCs w:val="22"/>
              </w:rPr>
              <w:t xml:space="preserve">eneric </w:t>
            </w:r>
            <w:r w:rsidRPr="00A36EC7">
              <w:rPr>
                <w:rFonts w:cs="Arial"/>
                <w:szCs w:val="22"/>
              </w:rPr>
              <w:t>T</w:t>
            </w:r>
            <w:r w:rsidR="00176DEF">
              <w:rPr>
                <w:rFonts w:cs="Arial"/>
                <w:szCs w:val="22"/>
              </w:rPr>
              <w:t xml:space="preserve">ax </w:t>
            </w:r>
            <w:r w:rsidRPr="00A36EC7">
              <w:rPr>
                <w:rFonts w:cs="Arial"/>
                <w:szCs w:val="22"/>
              </w:rPr>
              <w:t>P</w:t>
            </w:r>
            <w:r w:rsidR="00176DEF">
              <w:rPr>
                <w:rFonts w:cs="Arial"/>
                <w:szCs w:val="22"/>
              </w:rPr>
              <w:t xml:space="preserve">olicy </w:t>
            </w:r>
            <w:r w:rsidRPr="00A36EC7">
              <w:rPr>
                <w:rFonts w:cs="Arial"/>
                <w:szCs w:val="22"/>
              </w:rPr>
              <w:t>P</w:t>
            </w:r>
            <w:r w:rsidR="00176DEF">
              <w:rPr>
                <w:rFonts w:cs="Arial"/>
                <w:szCs w:val="22"/>
              </w:rPr>
              <w:t>rocess</w:t>
            </w:r>
            <w:r w:rsidRPr="00A36EC7">
              <w:rPr>
                <w:rFonts w:cs="Arial"/>
                <w:szCs w:val="22"/>
              </w:rPr>
              <w:t xml:space="preserve"> is the implementation and review stage, which involves post</w:t>
            </w:r>
            <w:r w:rsidR="00F94B71">
              <w:rPr>
                <w:rFonts w:cs="Arial"/>
                <w:szCs w:val="22"/>
              </w:rPr>
              <w:t xml:space="preserve"> </w:t>
            </w:r>
            <w:r w:rsidRPr="00A36EC7">
              <w:rPr>
                <w:rFonts w:cs="Arial"/>
                <w:szCs w:val="22"/>
              </w:rPr>
              <w:t>implementation review of legislation, and the identification of remedial issues. Post</w:t>
            </w:r>
            <w:r w:rsidR="00F94B71">
              <w:rPr>
                <w:rFonts w:cs="Arial"/>
                <w:szCs w:val="22"/>
              </w:rPr>
              <w:t xml:space="preserve"> </w:t>
            </w:r>
            <w:r w:rsidRPr="00A36EC7">
              <w:rPr>
                <w:rFonts w:cs="Arial"/>
                <w:szCs w:val="22"/>
              </w:rPr>
              <w:t>implementation review is expected to occur around 12 months after implementation. Opportunities for external consultation are built into this stage.</w:t>
            </w:r>
          </w:p>
          <w:p w14:paraId="15C0DEE3" w14:textId="77777777" w:rsidR="00A36EC7" w:rsidRDefault="00A36EC7" w:rsidP="00F522AE">
            <w:pPr>
              <w:spacing w:after="0" w:line="276" w:lineRule="auto"/>
              <w:rPr>
                <w:rFonts w:cs="Arial"/>
                <w:szCs w:val="22"/>
              </w:rPr>
            </w:pPr>
          </w:p>
          <w:p w14:paraId="23335E18" w14:textId="77777777" w:rsidR="00A36EC7" w:rsidRDefault="00A36EC7" w:rsidP="00F522AE">
            <w:pPr>
              <w:spacing w:after="0" w:line="276" w:lineRule="auto"/>
              <w:rPr>
                <w:rFonts w:cs="Arial"/>
                <w:szCs w:val="22"/>
              </w:rPr>
            </w:pPr>
            <w:r w:rsidRPr="00A36EC7">
              <w:rPr>
                <w:rFonts w:cs="Arial"/>
                <w:szCs w:val="22"/>
              </w:rPr>
              <w:t xml:space="preserve">Any necessary changes identified </w:t>
            </w:r>
            <w:r>
              <w:rPr>
                <w:rFonts w:cs="Arial"/>
                <w:szCs w:val="22"/>
              </w:rPr>
              <w:t xml:space="preserve">from the review </w:t>
            </w:r>
            <w:r w:rsidRPr="00A36EC7">
              <w:rPr>
                <w:rFonts w:cs="Arial"/>
                <w:szCs w:val="22"/>
              </w:rPr>
              <w:t>would be recommended for addition to the Government's tax policy work programme.</w:t>
            </w:r>
          </w:p>
          <w:p w14:paraId="04AD77F8" w14:textId="77777777" w:rsidR="0060353C" w:rsidRPr="0069218C" w:rsidRDefault="0060353C" w:rsidP="0069218C">
            <w:pPr>
              <w:spacing w:after="0" w:line="276" w:lineRule="auto"/>
              <w:jc w:val="both"/>
              <w:rPr>
                <w:rFonts w:cs="Arial"/>
                <w:szCs w:val="22"/>
              </w:rPr>
            </w:pPr>
          </w:p>
        </w:tc>
      </w:tr>
    </w:tbl>
    <w:p w14:paraId="67CDF9B6" w14:textId="77777777" w:rsidR="00C2708A" w:rsidRDefault="00C2708A" w:rsidP="00B47208">
      <w:pPr>
        <w:pStyle w:val="spacer"/>
      </w:pPr>
    </w:p>
    <w:sectPr w:rsidR="00C2708A" w:rsidSect="00B952B7">
      <w:headerReference w:type="default" r:id="rId7"/>
      <w:footerReference w:type="default" r:id="rId8"/>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1B831" w14:textId="77777777" w:rsidR="008340D9" w:rsidRDefault="008340D9">
      <w:pPr>
        <w:spacing w:after="0" w:line="240" w:lineRule="auto"/>
      </w:pPr>
      <w:r>
        <w:separator/>
      </w:r>
    </w:p>
  </w:endnote>
  <w:endnote w:type="continuationSeparator" w:id="0">
    <w:p w14:paraId="46900671" w14:textId="77777777" w:rsidR="008340D9" w:rsidRDefault="008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04A1E" w14:textId="637AA091" w:rsidR="00784C66" w:rsidRPr="00957BC2" w:rsidRDefault="007B72D1" w:rsidP="00957BC2">
    <w:pPr>
      <w:pStyle w:val="Footer"/>
    </w:pPr>
    <w:r>
      <mc:AlternateContent>
        <mc:Choice Requires="wps">
          <w:drawing>
            <wp:anchor distT="0" distB="0" distL="114300" distR="114300" simplePos="0" relativeHeight="251658240" behindDoc="0" locked="0" layoutInCell="0" allowOverlap="1" wp14:anchorId="0A3D1D1A" wp14:editId="480784B3">
              <wp:simplePos x="0" y="0"/>
              <wp:positionH relativeFrom="page">
                <wp:posOffset>0</wp:posOffset>
              </wp:positionH>
              <wp:positionV relativeFrom="page">
                <wp:posOffset>10234930</wp:posOffset>
              </wp:positionV>
              <wp:extent cx="7560310" cy="266700"/>
              <wp:effectExtent l="0" t="0" r="2540" b="4445"/>
              <wp:wrapNone/>
              <wp:docPr id="1" name="MSIPCMf0f345e6b52ddb242f22efbb" descr="{&quot;HashCode&quot;:404316862,&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AAFCF" w14:textId="77777777" w:rsidR="007B72D1" w:rsidRPr="007B72D1" w:rsidRDefault="007B72D1" w:rsidP="007B72D1">
                          <w:pPr>
                            <w:spacing w:after="0"/>
                            <w:jc w:val="center"/>
                            <w:rPr>
                              <w:rFonts w:ascii="Verdana" w:hAnsi="Verdana"/>
                              <w:color w:val="000000"/>
                              <w:sz w:val="20"/>
                            </w:rPr>
                          </w:pPr>
                          <w:r w:rsidRPr="007B72D1">
                            <w:rPr>
                              <w:rFonts w:ascii="Verdana" w:hAnsi="Verdana"/>
                              <w:color w:val="000000"/>
                              <w:sz w:val="20"/>
                            </w:rPr>
                            <w:t>IN CONFIDENCE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D1D1A" id="_x0000_t202" coordsize="21600,21600" o:spt="202" path="m,l,21600r21600,l21600,xe">
              <v:stroke joinstyle="miter"/>
              <v:path gradientshapeok="t" o:connecttype="rect"/>
            </v:shapetype>
            <v:shape id="MSIPCMf0f345e6b52ddb242f22efbb"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" o:allowincell="f" filled="f" stroked="f">
              <v:textbox inset=",0,,0">
                <w:txbxContent>
                  <w:p w14:paraId="7F2AAFCF" w14:textId="77777777" w:rsidR="007B72D1" w:rsidRPr="007B72D1" w:rsidRDefault="007B72D1" w:rsidP="007B72D1">
                    <w:pPr>
                      <w:spacing w:after="0"/>
                      <w:jc w:val="center"/>
                      <w:rPr>
                        <w:rFonts w:ascii="Verdana" w:hAnsi="Verdana"/>
                        <w:color w:val="000000"/>
                        <w:sz w:val="20"/>
                      </w:rPr>
                    </w:pPr>
                    <w:r w:rsidRPr="007B72D1">
                      <w:rPr>
                        <w:rFonts w:ascii="Verdana" w:hAnsi="Verdana"/>
                        <w:color w:val="000000"/>
                        <w:sz w:val="20"/>
                      </w:rPr>
                      <w:t>IN CONFIDENCE</w:t>
                    </w:r>
                  </w:p>
                </w:txbxContent>
              </v:textbox>
              <w10:wrap anchorx="page" anchory="page"/>
            </v:shape>
          </w:pict>
        </mc:Fallback>
      </mc:AlternateContent>
    </w:r>
    <w:r w:rsidR="00957BC2" w:rsidRPr="00957BC2">
      <w:t xml:space="preserve">   </w:t>
    </w:r>
    <w:r w:rsidR="00380585" w:rsidRPr="00957BC2">
      <w:t xml:space="preserve">|   </w:t>
    </w:r>
    <w:r w:rsidR="00380585" w:rsidRPr="00957BC2">
      <w:fldChar w:fldCharType="begin"/>
    </w:r>
    <w:r w:rsidR="00380585" w:rsidRPr="00957BC2">
      <w:instrText xml:space="preserve"> PAGE </w:instrText>
    </w:r>
    <w:r w:rsidR="00380585" w:rsidRPr="00957BC2">
      <w:fldChar w:fldCharType="separate"/>
    </w:r>
    <w:r w:rsidR="005717FA">
      <w:t>1</w:t>
    </w:r>
    <w:r w:rsidR="00380585" w:rsidRPr="00957B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7CAEB" w14:textId="77777777" w:rsidR="008340D9" w:rsidRDefault="008340D9">
      <w:pPr>
        <w:spacing w:after="0" w:line="240" w:lineRule="auto"/>
      </w:pPr>
      <w:r>
        <w:separator/>
      </w:r>
    </w:p>
  </w:footnote>
  <w:footnote w:type="continuationSeparator" w:id="0">
    <w:p w14:paraId="2D125530" w14:textId="77777777" w:rsidR="008340D9" w:rsidRDefault="008340D9">
      <w:pPr>
        <w:spacing w:after="0" w:line="240" w:lineRule="auto"/>
      </w:pPr>
      <w:r>
        <w:continuationSeparator/>
      </w:r>
    </w:p>
  </w:footnote>
  <w:footnote w:id="1">
    <w:p w14:paraId="65922597" w14:textId="42AD5B2C" w:rsidR="008F09CB" w:rsidRPr="008F09CB" w:rsidRDefault="008F09CB">
      <w:pPr>
        <w:pStyle w:val="FootnoteText"/>
        <w:rPr>
          <w:lang w:val="en-NZ"/>
        </w:rPr>
      </w:pPr>
      <w:r>
        <w:rPr>
          <w:rStyle w:val="FootnoteReference"/>
        </w:rPr>
        <w:footnoteRef/>
      </w:r>
      <w:r>
        <w:t xml:space="preserve"> </w:t>
      </w:r>
      <w:r>
        <w:tab/>
      </w:r>
      <w:r w:rsidRPr="008F09CB">
        <w:rPr>
          <w:rFonts w:cs="Arial"/>
          <w:szCs w:val="22"/>
        </w:rPr>
        <w:t xml:space="preserve">In the 2018 year, of </w:t>
      </w:r>
      <w:r w:rsidRPr="008F09CB">
        <w:t>the 700,000 student loan borrowers, less than</w:t>
      </w:r>
      <w:r w:rsidR="00D936FF">
        <w:t xml:space="preserve"> two percent </w:t>
      </w:r>
      <w:r w:rsidRPr="008F09CB">
        <w:t>had their repayment obligations prior to April 2013 amended (1,314)</w:t>
      </w:r>
      <w:r w:rsidR="00586B07">
        <w:t xml:space="preserve">. </w:t>
      </w:r>
      <w:r w:rsidRPr="008F09CB">
        <w:t xml:space="preserve">This number is expected to reduce significantly by 2020 </w:t>
      </w:r>
      <w:r w:rsidRPr="00190798">
        <w:t>due to Inland Revenue’s efforts in recent years to reduce the number of outstanding student loan retu</w:t>
      </w:r>
      <w:r w:rsidRPr="009A1C34">
        <w:t>rns and to contact non-compliant overseas based borrowers.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583A" w14:textId="77777777" w:rsidR="00784C66" w:rsidRPr="00EB1B21" w:rsidRDefault="002F57C1" w:rsidP="00784C66">
    <w:pPr>
      <w:tabs>
        <w:tab w:val="center" w:pos="4253"/>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CF5"/>
    <w:multiLevelType w:val="hybridMultilevel"/>
    <w:tmpl w:val="0E46E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003E76"/>
    <w:multiLevelType w:val="hybridMultilevel"/>
    <w:tmpl w:val="DC368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0622CD9"/>
    <w:multiLevelType w:val="hybridMultilevel"/>
    <w:tmpl w:val="158C128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11547D14"/>
    <w:multiLevelType w:val="hybridMultilevel"/>
    <w:tmpl w:val="7AC2E7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13AC65AC"/>
    <w:multiLevelType w:val="multilevel"/>
    <w:tmpl w:val="70C2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C192D"/>
    <w:multiLevelType w:val="hybridMultilevel"/>
    <w:tmpl w:val="2062B30A"/>
    <w:lvl w:ilvl="0" w:tplc="14090009">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2AB3A99"/>
    <w:multiLevelType w:val="multilevel"/>
    <w:tmpl w:val="6C8A7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43121AE"/>
    <w:multiLevelType w:val="hybridMultilevel"/>
    <w:tmpl w:val="B70CB5C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24FB71AB"/>
    <w:multiLevelType w:val="hybridMultilevel"/>
    <w:tmpl w:val="020833A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9" w15:restartNumberingAfterBreak="0">
    <w:nsid w:val="25684844"/>
    <w:multiLevelType w:val="multilevel"/>
    <w:tmpl w:val="4F90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4922E4"/>
    <w:multiLevelType w:val="hybridMultilevel"/>
    <w:tmpl w:val="C526F7AE"/>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EAE002E"/>
    <w:multiLevelType w:val="hybridMultilevel"/>
    <w:tmpl w:val="25905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0EB632A"/>
    <w:multiLevelType w:val="hybridMultilevel"/>
    <w:tmpl w:val="A3686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33DF230B"/>
    <w:multiLevelType w:val="hybridMultilevel"/>
    <w:tmpl w:val="466C1FA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8DE5A8D"/>
    <w:multiLevelType w:val="hybridMultilevel"/>
    <w:tmpl w:val="93802A1A"/>
    <w:lvl w:ilvl="0" w:tplc="8E3E8056">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9DA29B4"/>
    <w:multiLevelType w:val="hybridMultilevel"/>
    <w:tmpl w:val="14F0B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26367A"/>
    <w:multiLevelType w:val="hybridMultilevel"/>
    <w:tmpl w:val="54B63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CA63506"/>
    <w:multiLevelType w:val="multilevel"/>
    <w:tmpl w:val="BEE28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0842915"/>
    <w:multiLevelType w:val="hybridMultilevel"/>
    <w:tmpl w:val="A19206C6"/>
    <w:lvl w:ilvl="0" w:tplc="9FF2B75A">
      <w:start w:val="1"/>
      <w:numFmt w:val="bullet"/>
      <w:pStyle w:val="Box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50CD02AE"/>
    <w:multiLevelType w:val="hybridMultilevel"/>
    <w:tmpl w:val="11568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5295F22"/>
    <w:multiLevelType w:val="hybridMultilevel"/>
    <w:tmpl w:val="E610A99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3" w15:restartNumberingAfterBreak="0">
    <w:nsid w:val="561A693C"/>
    <w:multiLevelType w:val="hybridMultilevel"/>
    <w:tmpl w:val="C8423C5E"/>
    <w:lvl w:ilvl="0" w:tplc="41F4BD7E">
      <w:start w:val="1"/>
      <w:numFmt w:val="bullet"/>
      <w:pStyle w:val="Boxbullet0"/>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8B54D4"/>
    <w:multiLevelType w:val="multilevel"/>
    <w:tmpl w:val="186C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6E6A59"/>
    <w:multiLevelType w:val="hybridMultilevel"/>
    <w:tmpl w:val="711A8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BF51EF6"/>
    <w:multiLevelType w:val="hybridMultilevel"/>
    <w:tmpl w:val="DBC23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1717CA6"/>
    <w:multiLevelType w:val="hybridMultilevel"/>
    <w:tmpl w:val="A240DEF8"/>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9" w15:restartNumberingAfterBreak="0">
    <w:nsid w:val="66517777"/>
    <w:multiLevelType w:val="hybridMultilevel"/>
    <w:tmpl w:val="D5189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92E48CD"/>
    <w:multiLevelType w:val="hybridMultilevel"/>
    <w:tmpl w:val="6524A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A6E501E"/>
    <w:multiLevelType w:val="hybridMultilevel"/>
    <w:tmpl w:val="89DA1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DFE0345"/>
    <w:multiLevelType w:val="multilevel"/>
    <w:tmpl w:val="3B6E5A70"/>
    <w:lvl w:ilvl="0">
      <w:start w:val="1"/>
      <w:numFmt w:val="bullet"/>
      <w:lvlText w:val=""/>
      <w:lvlJc w:val="left"/>
      <w:pPr>
        <w:tabs>
          <w:tab w:val="num" w:pos="709"/>
        </w:tabs>
        <w:ind w:left="709" w:hanging="709"/>
      </w:pPr>
      <w:rPr>
        <w:rFonts w:ascii="Symbol" w:hAnsi="Symbol"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34" w15:restartNumberingAfterBreak="0">
    <w:nsid w:val="72F9179D"/>
    <w:multiLevelType w:val="hybridMultilevel"/>
    <w:tmpl w:val="0E506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78F17EEC"/>
    <w:multiLevelType w:val="hybridMultilevel"/>
    <w:tmpl w:val="780496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6" w15:restartNumberingAfterBreak="0">
    <w:nsid w:val="7C3311E6"/>
    <w:multiLevelType w:val="hybridMultilevel"/>
    <w:tmpl w:val="BF92C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FC3333E"/>
    <w:multiLevelType w:val="hybridMultilevel"/>
    <w:tmpl w:val="6DDE3FC4"/>
    <w:lvl w:ilvl="0" w:tplc="CB1A2486">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2"/>
  </w:num>
  <w:num w:numId="4">
    <w:abstractNumId w:val="12"/>
  </w:num>
  <w:num w:numId="5">
    <w:abstractNumId w:val="34"/>
  </w:num>
  <w:num w:numId="6">
    <w:abstractNumId w:val="27"/>
  </w:num>
  <w:num w:numId="7">
    <w:abstractNumId w:val="10"/>
  </w:num>
  <w:num w:numId="8">
    <w:abstractNumId w:val="14"/>
  </w:num>
  <w:num w:numId="9">
    <w:abstractNumId w:val="6"/>
  </w:num>
  <w:num w:numId="10">
    <w:abstractNumId w:val="19"/>
  </w:num>
  <w:num w:numId="11">
    <w:abstractNumId w:val="24"/>
  </w:num>
  <w:num w:numId="12">
    <w:abstractNumId w:val="4"/>
  </w:num>
  <w:num w:numId="13">
    <w:abstractNumId w:val="9"/>
  </w:num>
  <w:num w:numId="14">
    <w:abstractNumId w:val="15"/>
  </w:num>
  <w:num w:numId="15">
    <w:abstractNumId w:val="13"/>
  </w:num>
  <w:num w:numId="16">
    <w:abstractNumId w:val="5"/>
  </w:num>
  <w:num w:numId="17">
    <w:abstractNumId w:val="31"/>
  </w:num>
  <w:num w:numId="18">
    <w:abstractNumId w:val="3"/>
  </w:num>
  <w:num w:numId="19">
    <w:abstractNumId w:val="16"/>
  </w:num>
  <w:num w:numId="20">
    <w:abstractNumId w:val="30"/>
  </w:num>
  <w:num w:numId="21">
    <w:abstractNumId w:val="22"/>
  </w:num>
  <w:num w:numId="22">
    <w:abstractNumId w:val="8"/>
  </w:num>
  <w:num w:numId="23">
    <w:abstractNumId w:val="29"/>
  </w:num>
  <w:num w:numId="24">
    <w:abstractNumId w:val="25"/>
  </w:num>
  <w:num w:numId="25">
    <w:abstractNumId w:val="0"/>
  </w:num>
  <w:num w:numId="26">
    <w:abstractNumId w:val="17"/>
  </w:num>
  <w:num w:numId="27">
    <w:abstractNumId w:val="21"/>
  </w:num>
  <w:num w:numId="28">
    <w:abstractNumId w:val="23"/>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1"/>
  </w:num>
  <w:num w:numId="36">
    <w:abstractNumId w:val="2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0"/>
  </w:num>
  <w:num w:numId="40">
    <w:abstractNumId w:val="26"/>
  </w:num>
  <w:num w:numId="41">
    <w:abstractNumId w:val="37"/>
  </w:num>
  <w:num w:numId="42">
    <w:abstractNumId w:val="36"/>
  </w:num>
  <w:num w:numId="43">
    <w:abstractNumId w:val="14"/>
  </w:num>
  <w:num w:numId="44">
    <w:abstractNumId w:val="14"/>
  </w:num>
  <w:num w:numId="45">
    <w:abstractNumId w:val="14"/>
  </w:num>
  <w:num w:numId="46">
    <w:abstractNumId w:val="14"/>
  </w:num>
  <w:num w:numId="47">
    <w:abstractNumId w:val="33"/>
  </w:num>
  <w:num w:numId="48">
    <w:abstractNumId w:val="35"/>
  </w:num>
  <w:num w:numId="49">
    <w:abstractNumId w:val="28"/>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A5"/>
    <w:rsid w:val="000071F9"/>
    <w:rsid w:val="00013683"/>
    <w:rsid w:val="00016236"/>
    <w:rsid w:val="00016ACB"/>
    <w:rsid w:val="000224AF"/>
    <w:rsid w:val="0002661A"/>
    <w:rsid w:val="00030EC1"/>
    <w:rsid w:val="0003500F"/>
    <w:rsid w:val="0003727E"/>
    <w:rsid w:val="00045B4E"/>
    <w:rsid w:val="00051A88"/>
    <w:rsid w:val="00051E2D"/>
    <w:rsid w:val="000535CE"/>
    <w:rsid w:val="00056353"/>
    <w:rsid w:val="00062DF9"/>
    <w:rsid w:val="000775E0"/>
    <w:rsid w:val="0008555A"/>
    <w:rsid w:val="000869DC"/>
    <w:rsid w:val="000871E7"/>
    <w:rsid w:val="0009009A"/>
    <w:rsid w:val="0009467F"/>
    <w:rsid w:val="000A2A20"/>
    <w:rsid w:val="000A3146"/>
    <w:rsid w:val="000A3F4A"/>
    <w:rsid w:val="000B1F93"/>
    <w:rsid w:val="000C3197"/>
    <w:rsid w:val="000C7BDD"/>
    <w:rsid w:val="000D25A5"/>
    <w:rsid w:val="000E180F"/>
    <w:rsid w:val="000E377B"/>
    <w:rsid w:val="00100007"/>
    <w:rsid w:val="00121497"/>
    <w:rsid w:val="00122FC3"/>
    <w:rsid w:val="00134741"/>
    <w:rsid w:val="00144191"/>
    <w:rsid w:val="001530BD"/>
    <w:rsid w:val="001624D2"/>
    <w:rsid w:val="00163ADE"/>
    <w:rsid w:val="00176DEF"/>
    <w:rsid w:val="001806DF"/>
    <w:rsid w:val="00184B8E"/>
    <w:rsid w:val="00190453"/>
    <w:rsid w:val="00190798"/>
    <w:rsid w:val="001943BE"/>
    <w:rsid w:val="00194BB2"/>
    <w:rsid w:val="001B3E1F"/>
    <w:rsid w:val="001B4C45"/>
    <w:rsid w:val="001C12FC"/>
    <w:rsid w:val="001C3595"/>
    <w:rsid w:val="001D200F"/>
    <w:rsid w:val="001E0D43"/>
    <w:rsid w:val="001E1550"/>
    <w:rsid w:val="001F4BEF"/>
    <w:rsid w:val="001F6CD2"/>
    <w:rsid w:val="00207CEA"/>
    <w:rsid w:val="00207F57"/>
    <w:rsid w:val="002106CB"/>
    <w:rsid w:val="00212BF7"/>
    <w:rsid w:val="0021507A"/>
    <w:rsid w:val="002168C6"/>
    <w:rsid w:val="00217894"/>
    <w:rsid w:val="00223E66"/>
    <w:rsid w:val="00232C9A"/>
    <w:rsid w:val="0024289C"/>
    <w:rsid w:val="00250AC7"/>
    <w:rsid w:val="00273A42"/>
    <w:rsid w:val="00275D0D"/>
    <w:rsid w:val="00290D4E"/>
    <w:rsid w:val="00293FDC"/>
    <w:rsid w:val="002A51D4"/>
    <w:rsid w:val="002A56F0"/>
    <w:rsid w:val="002A6A33"/>
    <w:rsid w:val="002B1E33"/>
    <w:rsid w:val="002B60CA"/>
    <w:rsid w:val="002B663E"/>
    <w:rsid w:val="002C5072"/>
    <w:rsid w:val="002D24D6"/>
    <w:rsid w:val="002D54C0"/>
    <w:rsid w:val="002D5734"/>
    <w:rsid w:val="002D63C9"/>
    <w:rsid w:val="002E4199"/>
    <w:rsid w:val="002E6087"/>
    <w:rsid w:val="002F5313"/>
    <w:rsid w:val="002F57C1"/>
    <w:rsid w:val="002F7493"/>
    <w:rsid w:val="0030117A"/>
    <w:rsid w:val="00304CE4"/>
    <w:rsid w:val="003134F3"/>
    <w:rsid w:val="00316701"/>
    <w:rsid w:val="003207F5"/>
    <w:rsid w:val="0032262A"/>
    <w:rsid w:val="00324230"/>
    <w:rsid w:val="00332252"/>
    <w:rsid w:val="00336018"/>
    <w:rsid w:val="0033708B"/>
    <w:rsid w:val="00337DB5"/>
    <w:rsid w:val="0034402B"/>
    <w:rsid w:val="003454A8"/>
    <w:rsid w:val="003529BA"/>
    <w:rsid w:val="003730F0"/>
    <w:rsid w:val="00374199"/>
    <w:rsid w:val="00375022"/>
    <w:rsid w:val="00380585"/>
    <w:rsid w:val="003B29A3"/>
    <w:rsid w:val="003C12FA"/>
    <w:rsid w:val="003D2B86"/>
    <w:rsid w:val="003E36A6"/>
    <w:rsid w:val="003F0DF3"/>
    <w:rsid w:val="003F1BF6"/>
    <w:rsid w:val="004000DA"/>
    <w:rsid w:val="00403FCA"/>
    <w:rsid w:val="0041078F"/>
    <w:rsid w:val="00412C21"/>
    <w:rsid w:val="0042314C"/>
    <w:rsid w:val="004347CA"/>
    <w:rsid w:val="00434E8D"/>
    <w:rsid w:val="00441C7C"/>
    <w:rsid w:val="00444869"/>
    <w:rsid w:val="00451BE0"/>
    <w:rsid w:val="00455088"/>
    <w:rsid w:val="00456ED6"/>
    <w:rsid w:val="0046443D"/>
    <w:rsid w:val="00470D09"/>
    <w:rsid w:val="00470DEB"/>
    <w:rsid w:val="00472D95"/>
    <w:rsid w:val="00482830"/>
    <w:rsid w:val="004911FC"/>
    <w:rsid w:val="004933E0"/>
    <w:rsid w:val="004949B0"/>
    <w:rsid w:val="004976C6"/>
    <w:rsid w:val="004A192D"/>
    <w:rsid w:val="004B26AC"/>
    <w:rsid w:val="004B2E31"/>
    <w:rsid w:val="004C1841"/>
    <w:rsid w:val="004C69CA"/>
    <w:rsid w:val="004D342C"/>
    <w:rsid w:val="004E5694"/>
    <w:rsid w:val="004F0442"/>
    <w:rsid w:val="004F1219"/>
    <w:rsid w:val="004F23D0"/>
    <w:rsid w:val="00500265"/>
    <w:rsid w:val="00500C15"/>
    <w:rsid w:val="00511813"/>
    <w:rsid w:val="005214DC"/>
    <w:rsid w:val="00521BDE"/>
    <w:rsid w:val="0052297B"/>
    <w:rsid w:val="0053213E"/>
    <w:rsid w:val="00542174"/>
    <w:rsid w:val="00542794"/>
    <w:rsid w:val="005429F8"/>
    <w:rsid w:val="00546F69"/>
    <w:rsid w:val="00553112"/>
    <w:rsid w:val="0055363A"/>
    <w:rsid w:val="00562BE6"/>
    <w:rsid w:val="00564647"/>
    <w:rsid w:val="00567434"/>
    <w:rsid w:val="005717FA"/>
    <w:rsid w:val="005738FE"/>
    <w:rsid w:val="00580BDE"/>
    <w:rsid w:val="00585F37"/>
    <w:rsid w:val="00586B07"/>
    <w:rsid w:val="005876C7"/>
    <w:rsid w:val="005876FF"/>
    <w:rsid w:val="00595A36"/>
    <w:rsid w:val="00596E1D"/>
    <w:rsid w:val="005A0662"/>
    <w:rsid w:val="005A2311"/>
    <w:rsid w:val="005A3981"/>
    <w:rsid w:val="005B3FA8"/>
    <w:rsid w:val="005B6570"/>
    <w:rsid w:val="005C35F6"/>
    <w:rsid w:val="005D0F5F"/>
    <w:rsid w:val="005D20D1"/>
    <w:rsid w:val="005D5BF0"/>
    <w:rsid w:val="005E2C68"/>
    <w:rsid w:val="005E60FF"/>
    <w:rsid w:val="005F0B32"/>
    <w:rsid w:val="0060253D"/>
    <w:rsid w:val="0060353C"/>
    <w:rsid w:val="00606682"/>
    <w:rsid w:val="00636E2F"/>
    <w:rsid w:val="00660DCD"/>
    <w:rsid w:val="00664883"/>
    <w:rsid w:val="0067537D"/>
    <w:rsid w:val="00676708"/>
    <w:rsid w:val="00686A3D"/>
    <w:rsid w:val="00686B28"/>
    <w:rsid w:val="0069218C"/>
    <w:rsid w:val="00695DAC"/>
    <w:rsid w:val="006A3B7A"/>
    <w:rsid w:val="006A70C4"/>
    <w:rsid w:val="006B1547"/>
    <w:rsid w:val="006B4D2D"/>
    <w:rsid w:val="006C40C2"/>
    <w:rsid w:val="006D3130"/>
    <w:rsid w:val="006D5192"/>
    <w:rsid w:val="006F1018"/>
    <w:rsid w:val="006F1B00"/>
    <w:rsid w:val="006F1EFF"/>
    <w:rsid w:val="006F3BF1"/>
    <w:rsid w:val="006F4195"/>
    <w:rsid w:val="006F5CEE"/>
    <w:rsid w:val="006F6139"/>
    <w:rsid w:val="00704377"/>
    <w:rsid w:val="00705320"/>
    <w:rsid w:val="00705DEE"/>
    <w:rsid w:val="007164F6"/>
    <w:rsid w:val="00736E02"/>
    <w:rsid w:val="007437CA"/>
    <w:rsid w:val="00745801"/>
    <w:rsid w:val="00765467"/>
    <w:rsid w:val="00771958"/>
    <w:rsid w:val="00771B00"/>
    <w:rsid w:val="007733CB"/>
    <w:rsid w:val="00783846"/>
    <w:rsid w:val="00784C66"/>
    <w:rsid w:val="00796E63"/>
    <w:rsid w:val="007A0F0B"/>
    <w:rsid w:val="007A5446"/>
    <w:rsid w:val="007A5FCD"/>
    <w:rsid w:val="007B5BE8"/>
    <w:rsid w:val="007B72D1"/>
    <w:rsid w:val="007B74BE"/>
    <w:rsid w:val="007C18CD"/>
    <w:rsid w:val="007C77B1"/>
    <w:rsid w:val="007F37A5"/>
    <w:rsid w:val="007F54BD"/>
    <w:rsid w:val="00800A3B"/>
    <w:rsid w:val="00800DEC"/>
    <w:rsid w:val="00804D05"/>
    <w:rsid w:val="0080631D"/>
    <w:rsid w:val="00815E4C"/>
    <w:rsid w:val="008172BD"/>
    <w:rsid w:val="00826142"/>
    <w:rsid w:val="008262FD"/>
    <w:rsid w:val="00826BE8"/>
    <w:rsid w:val="00833BA0"/>
    <w:rsid w:val="008340D9"/>
    <w:rsid w:val="00834D20"/>
    <w:rsid w:val="00864A28"/>
    <w:rsid w:val="00864EBC"/>
    <w:rsid w:val="00865B0F"/>
    <w:rsid w:val="00872D60"/>
    <w:rsid w:val="00886373"/>
    <w:rsid w:val="00886DFF"/>
    <w:rsid w:val="00895FE4"/>
    <w:rsid w:val="008A0D5F"/>
    <w:rsid w:val="008A124E"/>
    <w:rsid w:val="008A14DD"/>
    <w:rsid w:val="008A6442"/>
    <w:rsid w:val="008C2DCC"/>
    <w:rsid w:val="008D09E1"/>
    <w:rsid w:val="008D1CA9"/>
    <w:rsid w:val="008E0F12"/>
    <w:rsid w:val="008F09CB"/>
    <w:rsid w:val="008F4216"/>
    <w:rsid w:val="008F5D9D"/>
    <w:rsid w:val="00912CA3"/>
    <w:rsid w:val="00913F6D"/>
    <w:rsid w:val="00917A22"/>
    <w:rsid w:val="0092648A"/>
    <w:rsid w:val="009276C5"/>
    <w:rsid w:val="009359DF"/>
    <w:rsid w:val="00951ABE"/>
    <w:rsid w:val="00951F24"/>
    <w:rsid w:val="00956FB1"/>
    <w:rsid w:val="00957BC2"/>
    <w:rsid w:val="0096111D"/>
    <w:rsid w:val="00961D2E"/>
    <w:rsid w:val="00962209"/>
    <w:rsid w:val="00967DD0"/>
    <w:rsid w:val="009802DF"/>
    <w:rsid w:val="009807E7"/>
    <w:rsid w:val="00980FB2"/>
    <w:rsid w:val="00986DCD"/>
    <w:rsid w:val="00986FA4"/>
    <w:rsid w:val="009932EE"/>
    <w:rsid w:val="00994835"/>
    <w:rsid w:val="009A10EF"/>
    <w:rsid w:val="009A1C34"/>
    <w:rsid w:val="009A5160"/>
    <w:rsid w:val="009A7A20"/>
    <w:rsid w:val="009B1153"/>
    <w:rsid w:val="009B2575"/>
    <w:rsid w:val="009B4532"/>
    <w:rsid w:val="009C3DF5"/>
    <w:rsid w:val="009F0CB5"/>
    <w:rsid w:val="009F7B3A"/>
    <w:rsid w:val="00A05292"/>
    <w:rsid w:val="00A063B5"/>
    <w:rsid w:val="00A10385"/>
    <w:rsid w:val="00A11C8A"/>
    <w:rsid w:val="00A146CA"/>
    <w:rsid w:val="00A149DF"/>
    <w:rsid w:val="00A16ADD"/>
    <w:rsid w:val="00A279AA"/>
    <w:rsid w:val="00A32C90"/>
    <w:rsid w:val="00A33BA0"/>
    <w:rsid w:val="00A358C8"/>
    <w:rsid w:val="00A36EC7"/>
    <w:rsid w:val="00A441F1"/>
    <w:rsid w:val="00A552DC"/>
    <w:rsid w:val="00A615CB"/>
    <w:rsid w:val="00A66590"/>
    <w:rsid w:val="00A7346F"/>
    <w:rsid w:val="00A8271D"/>
    <w:rsid w:val="00AA71C9"/>
    <w:rsid w:val="00AA7962"/>
    <w:rsid w:val="00AB73B3"/>
    <w:rsid w:val="00AC2486"/>
    <w:rsid w:val="00AC4742"/>
    <w:rsid w:val="00AC65D1"/>
    <w:rsid w:val="00AE4238"/>
    <w:rsid w:val="00AE4D46"/>
    <w:rsid w:val="00AE74DD"/>
    <w:rsid w:val="00AF3223"/>
    <w:rsid w:val="00AF3A37"/>
    <w:rsid w:val="00AF5B56"/>
    <w:rsid w:val="00AF7F09"/>
    <w:rsid w:val="00B037EF"/>
    <w:rsid w:val="00B05A17"/>
    <w:rsid w:val="00B07E8F"/>
    <w:rsid w:val="00B15F56"/>
    <w:rsid w:val="00B17099"/>
    <w:rsid w:val="00B17B3C"/>
    <w:rsid w:val="00B20765"/>
    <w:rsid w:val="00B22764"/>
    <w:rsid w:val="00B23E8A"/>
    <w:rsid w:val="00B274E5"/>
    <w:rsid w:val="00B3036A"/>
    <w:rsid w:val="00B3596A"/>
    <w:rsid w:val="00B4041D"/>
    <w:rsid w:val="00B44714"/>
    <w:rsid w:val="00B47208"/>
    <w:rsid w:val="00B478FE"/>
    <w:rsid w:val="00B63486"/>
    <w:rsid w:val="00B654A0"/>
    <w:rsid w:val="00B7536B"/>
    <w:rsid w:val="00B83116"/>
    <w:rsid w:val="00B84503"/>
    <w:rsid w:val="00B952B7"/>
    <w:rsid w:val="00BA0399"/>
    <w:rsid w:val="00BA08C7"/>
    <w:rsid w:val="00BA18C4"/>
    <w:rsid w:val="00BA4208"/>
    <w:rsid w:val="00BC2351"/>
    <w:rsid w:val="00BC46B1"/>
    <w:rsid w:val="00BC51B1"/>
    <w:rsid w:val="00BC7C29"/>
    <w:rsid w:val="00BE4A62"/>
    <w:rsid w:val="00BE62EB"/>
    <w:rsid w:val="00C05A4B"/>
    <w:rsid w:val="00C10BF7"/>
    <w:rsid w:val="00C16186"/>
    <w:rsid w:val="00C220B2"/>
    <w:rsid w:val="00C22778"/>
    <w:rsid w:val="00C2708A"/>
    <w:rsid w:val="00C33D79"/>
    <w:rsid w:val="00C45246"/>
    <w:rsid w:val="00C517F9"/>
    <w:rsid w:val="00C75739"/>
    <w:rsid w:val="00C7655A"/>
    <w:rsid w:val="00C77099"/>
    <w:rsid w:val="00C810D9"/>
    <w:rsid w:val="00C816A0"/>
    <w:rsid w:val="00C85C10"/>
    <w:rsid w:val="00C92AC4"/>
    <w:rsid w:val="00C93AA5"/>
    <w:rsid w:val="00CA4DDC"/>
    <w:rsid w:val="00CB1922"/>
    <w:rsid w:val="00CB5C56"/>
    <w:rsid w:val="00CB7FF9"/>
    <w:rsid w:val="00CC7E90"/>
    <w:rsid w:val="00CD0744"/>
    <w:rsid w:val="00CD70A3"/>
    <w:rsid w:val="00CE0F5F"/>
    <w:rsid w:val="00CE780B"/>
    <w:rsid w:val="00CE7CF5"/>
    <w:rsid w:val="00CF0C99"/>
    <w:rsid w:val="00CF410B"/>
    <w:rsid w:val="00D019CB"/>
    <w:rsid w:val="00D02AAF"/>
    <w:rsid w:val="00D0444B"/>
    <w:rsid w:val="00D10551"/>
    <w:rsid w:val="00D2024E"/>
    <w:rsid w:val="00D20B48"/>
    <w:rsid w:val="00D236C4"/>
    <w:rsid w:val="00D24298"/>
    <w:rsid w:val="00D26A33"/>
    <w:rsid w:val="00D33B4C"/>
    <w:rsid w:val="00D33F9C"/>
    <w:rsid w:val="00D34637"/>
    <w:rsid w:val="00D358B0"/>
    <w:rsid w:val="00D57CA0"/>
    <w:rsid w:val="00D84413"/>
    <w:rsid w:val="00D90032"/>
    <w:rsid w:val="00D936FF"/>
    <w:rsid w:val="00D957E9"/>
    <w:rsid w:val="00D9793F"/>
    <w:rsid w:val="00DA06D7"/>
    <w:rsid w:val="00DA39FD"/>
    <w:rsid w:val="00DA4818"/>
    <w:rsid w:val="00DB443A"/>
    <w:rsid w:val="00DC2143"/>
    <w:rsid w:val="00DD155C"/>
    <w:rsid w:val="00DD35B0"/>
    <w:rsid w:val="00DD4DA4"/>
    <w:rsid w:val="00DE7A9B"/>
    <w:rsid w:val="00E01A35"/>
    <w:rsid w:val="00E02D54"/>
    <w:rsid w:val="00E3675A"/>
    <w:rsid w:val="00E42E9F"/>
    <w:rsid w:val="00E5248E"/>
    <w:rsid w:val="00E54A75"/>
    <w:rsid w:val="00E56FB6"/>
    <w:rsid w:val="00E57521"/>
    <w:rsid w:val="00E57582"/>
    <w:rsid w:val="00E62373"/>
    <w:rsid w:val="00E666F3"/>
    <w:rsid w:val="00E66CC0"/>
    <w:rsid w:val="00E759DF"/>
    <w:rsid w:val="00E80FCB"/>
    <w:rsid w:val="00E853F0"/>
    <w:rsid w:val="00E92509"/>
    <w:rsid w:val="00E95647"/>
    <w:rsid w:val="00E96043"/>
    <w:rsid w:val="00E9759E"/>
    <w:rsid w:val="00EA1675"/>
    <w:rsid w:val="00EA2449"/>
    <w:rsid w:val="00EA3984"/>
    <w:rsid w:val="00EB0E8C"/>
    <w:rsid w:val="00EB7B64"/>
    <w:rsid w:val="00EC1A9B"/>
    <w:rsid w:val="00EC3D8D"/>
    <w:rsid w:val="00EC6FAD"/>
    <w:rsid w:val="00ED0D42"/>
    <w:rsid w:val="00ED1D6B"/>
    <w:rsid w:val="00EE425D"/>
    <w:rsid w:val="00EE49B2"/>
    <w:rsid w:val="00EE4E3B"/>
    <w:rsid w:val="00EF3CB8"/>
    <w:rsid w:val="00F132B2"/>
    <w:rsid w:val="00F14105"/>
    <w:rsid w:val="00F21167"/>
    <w:rsid w:val="00F25744"/>
    <w:rsid w:val="00F44166"/>
    <w:rsid w:val="00F51BCB"/>
    <w:rsid w:val="00F522AE"/>
    <w:rsid w:val="00F52C8D"/>
    <w:rsid w:val="00F61970"/>
    <w:rsid w:val="00F62866"/>
    <w:rsid w:val="00F63B99"/>
    <w:rsid w:val="00F72C9B"/>
    <w:rsid w:val="00F7689E"/>
    <w:rsid w:val="00F80E60"/>
    <w:rsid w:val="00F80F0B"/>
    <w:rsid w:val="00F81C1E"/>
    <w:rsid w:val="00F837E1"/>
    <w:rsid w:val="00F905DE"/>
    <w:rsid w:val="00F90AF4"/>
    <w:rsid w:val="00F9331E"/>
    <w:rsid w:val="00F94B71"/>
    <w:rsid w:val="00F97444"/>
    <w:rsid w:val="00FD0D35"/>
    <w:rsid w:val="00FD2F7C"/>
    <w:rsid w:val="00FD5F1F"/>
    <w:rsid w:val="00FE691D"/>
    <w:rsid w:val="00FF2DB0"/>
    <w:rsid w:val="00FF61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63F0234"/>
  <w15:chartTrackingRefBased/>
  <w15:docId w15:val="{FE444694-FA16-4AF2-97E6-EEF58AEB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FAD"/>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6D3130"/>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6F1EFF"/>
    <w:pPr>
      <w:keepNext/>
      <w:spacing w:after="180" w:line="240" w:lineRule="auto"/>
      <w:outlineLvl w:val="1"/>
    </w:pPr>
    <w:rPr>
      <w:b/>
      <w:color w:val="0082AB"/>
      <w:spacing w:val="20"/>
      <w:w w:val="90"/>
      <w:sz w:val="28"/>
      <w:szCs w:val="28"/>
    </w:rPr>
  </w:style>
  <w:style w:type="paragraph" w:styleId="Heading3">
    <w:name w:val="heading 3"/>
    <w:basedOn w:val="Heading2"/>
    <w:next w:val="Normal"/>
    <w:link w:val="Heading3Char"/>
    <w:qFormat/>
    <w:rsid w:val="00EC6FAD"/>
    <w:pPr>
      <w:spacing w:before="200"/>
      <w:outlineLvl w:val="2"/>
    </w:pPr>
    <w:rPr>
      <w:sz w:val="24"/>
      <w:szCs w:val="22"/>
    </w:rPr>
  </w:style>
  <w:style w:type="paragraph" w:styleId="Heading4">
    <w:name w:val="heading 4"/>
    <w:basedOn w:val="Normal"/>
    <w:next w:val="Normal"/>
    <w:link w:val="Heading4Char"/>
    <w:qFormat/>
    <w:rsid w:val="00EC6FAD"/>
    <w:pPr>
      <w:spacing w:before="120" w:after="200" w:line="240" w:lineRule="auto"/>
      <w:outlineLvl w:val="3"/>
    </w:pPr>
    <w:rPr>
      <w:b/>
      <w:bCs/>
      <w:color w:val="335087"/>
      <w:sz w:val="20"/>
    </w:rPr>
  </w:style>
  <w:style w:type="paragraph" w:styleId="Heading5">
    <w:name w:val="heading 5"/>
    <w:basedOn w:val="Normal"/>
    <w:next w:val="Normal"/>
    <w:link w:val="Heading5Char"/>
    <w:rsid w:val="00EC6FAD"/>
    <w:pPr>
      <w:keepNext/>
      <w:widowControl w:val="0"/>
      <w:spacing w:before="80" w:after="120"/>
      <w:outlineLvl w:val="4"/>
    </w:pPr>
    <w:rPr>
      <w:color w:val="000000"/>
      <w:szCs w:val="22"/>
    </w:rPr>
  </w:style>
  <w:style w:type="paragraph" w:styleId="Heading6">
    <w:name w:val="heading 6"/>
    <w:basedOn w:val="Normal"/>
    <w:next w:val="Normal"/>
    <w:link w:val="Heading6Char"/>
    <w:rsid w:val="00EC6FAD"/>
    <w:pPr>
      <w:spacing w:before="240"/>
      <w:outlineLvl w:val="5"/>
    </w:pPr>
    <w:rPr>
      <w:i/>
      <w:sz w:val="20"/>
    </w:rPr>
  </w:style>
  <w:style w:type="paragraph" w:styleId="Heading7">
    <w:name w:val="heading 7"/>
    <w:basedOn w:val="Normal"/>
    <w:next w:val="Normal"/>
    <w:link w:val="Heading7Char"/>
    <w:rsid w:val="00EC6FAD"/>
    <w:pPr>
      <w:spacing w:before="240"/>
      <w:outlineLvl w:val="6"/>
    </w:pPr>
    <w:rPr>
      <w:sz w:val="20"/>
    </w:rPr>
  </w:style>
  <w:style w:type="paragraph" w:styleId="Heading8">
    <w:name w:val="heading 8"/>
    <w:basedOn w:val="Normal"/>
    <w:next w:val="Normal"/>
    <w:link w:val="Heading8Char"/>
    <w:rsid w:val="00EC6FAD"/>
    <w:pPr>
      <w:spacing w:before="80" w:after="80"/>
      <w:outlineLvl w:val="7"/>
    </w:pPr>
    <w:rPr>
      <w:sz w:val="20"/>
    </w:rPr>
  </w:style>
  <w:style w:type="paragraph" w:styleId="Heading9">
    <w:name w:val="heading 9"/>
    <w:next w:val="Normal"/>
    <w:link w:val="Heading9Char"/>
    <w:rsid w:val="00EC6FAD"/>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A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3E66"/>
    <w:pPr>
      <w:spacing w:after="0"/>
      <w:ind w:left="720"/>
      <w:contextualSpacing/>
    </w:pPr>
    <w:rPr>
      <w:rFonts w:cs="Arial"/>
    </w:rPr>
  </w:style>
  <w:style w:type="character" w:customStyle="1" w:styleId="ListParagraphChar">
    <w:name w:val="List Paragraph Char"/>
    <w:link w:val="ListParagraph"/>
    <w:uiPriority w:val="34"/>
    <w:locked/>
    <w:rsid w:val="00223E66"/>
    <w:rPr>
      <w:rFonts w:ascii="Arial" w:eastAsia="Times New Roman" w:hAnsi="Arial" w:cs="Arial"/>
    </w:rPr>
  </w:style>
  <w:style w:type="character" w:customStyle="1" w:styleId="Heading1Char">
    <w:name w:val="Heading 1 Char"/>
    <w:link w:val="Heading1"/>
    <w:rsid w:val="006D3130"/>
    <w:rPr>
      <w:rFonts w:ascii="Arial" w:eastAsia="Times New Roman" w:hAnsi="Arial" w:cs="Times New Roman"/>
      <w:b/>
      <w:color w:val="0082AB"/>
      <w:spacing w:val="20"/>
      <w:w w:val="90"/>
      <w:sz w:val="44"/>
      <w:szCs w:val="44"/>
      <w:lang w:eastAsia="en-GB"/>
    </w:rPr>
  </w:style>
  <w:style w:type="paragraph" w:styleId="Footer">
    <w:name w:val="footer"/>
    <w:basedOn w:val="Normal"/>
    <w:link w:val="FooterChar"/>
    <w:autoRedefine/>
    <w:rsid w:val="00957BC2"/>
    <w:pPr>
      <w:spacing w:after="0" w:line="240" w:lineRule="auto"/>
      <w:ind w:left="-1985"/>
      <w:jc w:val="right"/>
    </w:pPr>
    <w:rPr>
      <w:noProof/>
      <w:color w:val="0082AB"/>
      <w:spacing w:val="6"/>
      <w:sz w:val="16"/>
      <w:szCs w:val="16"/>
    </w:rPr>
  </w:style>
  <w:style w:type="character" w:customStyle="1" w:styleId="FooterChar">
    <w:name w:val="Footer Char"/>
    <w:link w:val="Footer"/>
    <w:rsid w:val="00957BC2"/>
    <w:rPr>
      <w:rFonts w:ascii="Arial" w:eastAsia="Times New Roman" w:hAnsi="Arial" w:cs="Times New Roman"/>
      <w:noProof/>
      <w:color w:val="0082AB"/>
      <w:spacing w:val="6"/>
      <w:sz w:val="16"/>
      <w:szCs w:val="16"/>
      <w:lang w:val="en-GB" w:eastAsia="en-GB"/>
    </w:rPr>
  </w:style>
  <w:style w:type="paragraph" w:styleId="Header">
    <w:name w:val="header"/>
    <w:basedOn w:val="Normal"/>
    <w:link w:val="HeaderChar"/>
    <w:rsid w:val="00EC6FAD"/>
    <w:pPr>
      <w:tabs>
        <w:tab w:val="center" w:pos="4153"/>
        <w:tab w:val="right" w:pos="8306"/>
      </w:tabs>
    </w:pPr>
  </w:style>
  <w:style w:type="character" w:customStyle="1" w:styleId="HeaderChar">
    <w:name w:val="Header Char"/>
    <w:link w:val="Header"/>
    <w:rsid w:val="00E92509"/>
    <w:rPr>
      <w:rFonts w:ascii="Arial" w:eastAsia="Times New Roman" w:hAnsi="Arial" w:cs="Times New Roman"/>
      <w:szCs w:val="20"/>
      <w:lang w:val="en-GB" w:eastAsia="en-GB"/>
    </w:rPr>
  </w:style>
  <w:style w:type="paragraph" w:customStyle="1" w:styleId="Boxtext">
    <w:name w:val="Box text"/>
    <w:basedOn w:val="Normal"/>
    <w:rsid w:val="00957BC2"/>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spacer">
    <w:name w:val="spacer"/>
    <w:basedOn w:val="Normal"/>
    <w:qFormat/>
    <w:rsid w:val="00EC6FAD"/>
    <w:pPr>
      <w:spacing w:after="0" w:line="240" w:lineRule="auto"/>
    </w:pPr>
    <w:rPr>
      <w:sz w:val="16"/>
      <w:szCs w:val="22"/>
      <w:lang w:eastAsia="en-AU"/>
    </w:rPr>
  </w:style>
  <w:style w:type="paragraph" w:customStyle="1" w:styleId="Bullet-list">
    <w:name w:val="Bullet-list"/>
    <w:qFormat/>
    <w:rsid w:val="00800DEC"/>
    <w:pPr>
      <w:numPr>
        <w:numId w:val="29"/>
      </w:numPr>
      <w:spacing w:after="180" w:line="280" w:lineRule="exact"/>
    </w:pPr>
    <w:rPr>
      <w:rFonts w:ascii="Arial" w:eastAsia="Times New Roman" w:hAnsi="Arial"/>
      <w:sz w:val="22"/>
      <w:lang w:val="en-AU" w:eastAsia="en-US"/>
    </w:rPr>
  </w:style>
  <w:style w:type="paragraph" w:styleId="BalloonText">
    <w:name w:val="Balloon Text"/>
    <w:basedOn w:val="Normal"/>
    <w:link w:val="BalloonTextChar"/>
    <w:semiHidden/>
    <w:rsid w:val="00EC6FAD"/>
    <w:rPr>
      <w:rFonts w:ascii="Tahoma" w:hAnsi="Tahoma" w:cs="Tahoma"/>
      <w:sz w:val="16"/>
      <w:szCs w:val="16"/>
    </w:rPr>
  </w:style>
  <w:style w:type="character" w:customStyle="1" w:styleId="BalloonTextChar">
    <w:name w:val="Balloon Text Char"/>
    <w:link w:val="BalloonText"/>
    <w:semiHidden/>
    <w:rsid w:val="0032262A"/>
    <w:rPr>
      <w:rFonts w:ascii="Tahoma" w:eastAsia="Times New Roman" w:hAnsi="Tahoma" w:cs="Tahoma"/>
      <w:sz w:val="16"/>
      <w:szCs w:val="16"/>
      <w:lang w:val="en-GB" w:eastAsia="en-GB"/>
    </w:rPr>
  </w:style>
  <w:style w:type="character" w:styleId="Hyperlink">
    <w:name w:val="Hyperlink"/>
    <w:uiPriority w:val="99"/>
    <w:rsid w:val="00030EC1"/>
    <w:rPr>
      <w:color w:val="0082AB"/>
      <w:u w:val="single"/>
    </w:rPr>
  </w:style>
  <w:style w:type="character" w:styleId="CommentReference">
    <w:name w:val="annotation reference"/>
    <w:semiHidden/>
    <w:rsid w:val="00EC6FAD"/>
    <w:rPr>
      <w:sz w:val="16"/>
      <w:szCs w:val="16"/>
    </w:rPr>
  </w:style>
  <w:style w:type="paragraph" w:styleId="CommentText">
    <w:name w:val="annotation text"/>
    <w:basedOn w:val="Normal"/>
    <w:link w:val="CommentTextChar"/>
    <w:semiHidden/>
    <w:rsid w:val="00EC6FAD"/>
    <w:rPr>
      <w:sz w:val="20"/>
    </w:rPr>
  </w:style>
  <w:style w:type="character" w:customStyle="1" w:styleId="CommentTextChar">
    <w:name w:val="Comment Text Char"/>
    <w:link w:val="CommentText"/>
    <w:semiHidden/>
    <w:rsid w:val="00956FB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EC6FAD"/>
    <w:rPr>
      <w:b/>
      <w:bCs/>
    </w:rPr>
  </w:style>
  <w:style w:type="character" w:customStyle="1" w:styleId="CommentSubjectChar">
    <w:name w:val="Comment Subject Char"/>
    <w:link w:val="CommentSubject"/>
    <w:semiHidden/>
    <w:rsid w:val="00956FB1"/>
    <w:rPr>
      <w:rFonts w:ascii="Arial" w:eastAsia="Times New Roman" w:hAnsi="Arial" w:cs="Times New Roman"/>
      <w:b/>
      <w:bCs/>
      <w:sz w:val="20"/>
      <w:szCs w:val="20"/>
      <w:lang w:val="en-GB" w:eastAsia="en-GB"/>
    </w:rPr>
  </w:style>
  <w:style w:type="paragraph" w:customStyle="1" w:styleId="Author">
    <w:name w:val="Author"/>
    <w:basedOn w:val="Normal"/>
    <w:semiHidden/>
    <w:rsid w:val="00EC6FAD"/>
    <w:pPr>
      <w:spacing w:before="240" w:after="1200"/>
      <w:ind w:left="-181"/>
      <w:jc w:val="right"/>
    </w:pPr>
    <w:rPr>
      <w:rFonts w:cs="Arial"/>
      <w:i/>
      <w:sz w:val="40"/>
      <w:szCs w:val="22"/>
    </w:rPr>
  </w:style>
  <w:style w:type="paragraph" w:customStyle="1" w:styleId="Boxbullet0">
    <w:name w:val="Box bullet"/>
    <w:basedOn w:val="Boxtext"/>
    <w:rsid w:val="00EC6FAD"/>
    <w:pPr>
      <w:numPr>
        <w:numId w:val="28"/>
      </w:numPr>
      <w:tabs>
        <w:tab w:val="clear" w:pos="644"/>
        <w:tab w:val="num" w:pos="426"/>
      </w:tabs>
      <w:spacing w:before="80"/>
    </w:pPr>
  </w:style>
  <w:style w:type="paragraph" w:customStyle="1" w:styleId="Boxheading">
    <w:name w:val="Box heading"/>
    <w:basedOn w:val="Normal"/>
    <w:next w:val="Boxtext"/>
    <w:autoRedefine/>
    <w:rsid w:val="00EC6FAD"/>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EC6FAD"/>
    <w:pPr>
      <w:tabs>
        <w:tab w:val="left" w:pos="426"/>
      </w:tabs>
      <w:ind w:left="426" w:hanging="284"/>
    </w:pPr>
  </w:style>
  <w:style w:type="paragraph" w:styleId="Caption">
    <w:name w:val="caption"/>
    <w:basedOn w:val="Normal"/>
    <w:next w:val="Normal"/>
    <w:rsid w:val="00EC6FAD"/>
    <w:rPr>
      <w:b/>
      <w:bCs/>
      <w:sz w:val="20"/>
    </w:rPr>
  </w:style>
  <w:style w:type="paragraph" w:styleId="DocumentMap">
    <w:name w:val="Document Map"/>
    <w:basedOn w:val="Normal"/>
    <w:link w:val="DocumentMapChar"/>
    <w:semiHidden/>
    <w:rsid w:val="00EC6FAD"/>
    <w:pPr>
      <w:shd w:val="clear" w:color="auto" w:fill="000080"/>
    </w:pPr>
    <w:rPr>
      <w:rFonts w:ascii="Tahoma" w:hAnsi="Tahoma" w:cs="Tahoma"/>
      <w:sz w:val="20"/>
    </w:rPr>
  </w:style>
  <w:style w:type="character" w:customStyle="1" w:styleId="DocumentMapChar">
    <w:name w:val="Document Map Char"/>
    <w:link w:val="DocumentMap"/>
    <w:semiHidden/>
    <w:rsid w:val="00EC6FAD"/>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EC6FAD"/>
    <w:pPr>
      <w:jc w:val="left"/>
    </w:pPr>
  </w:style>
  <w:style w:type="paragraph" w:customStyle="1" w:styleId="Evenfooter-wide">
    <w:name w:val="Even footer-wide"/>
    <w:basedOn w:val="EvenFooter"/>
    <w:rsid w:val="00EC6FAD"/>
  </w:style>
  <w:style w:type="character" w:styleId="FollowedHyperlink">
    <w:name w:val="FollowedHyperlink"/>
    <w:rsid w:val="00EC6FAD"/>
    <w:rPr>
      <w:color w:val="800080"/>
      <w:u w:val="single"/>
    </w:rPr>
  </w:style>
  <w:style w:type="character" w:styleId="FootnoteReference">
    <w:name w:val="footnote reference"/>
    <w:uiPriority w:val="99"/>
    <w:semiHidden/>
    <w:rsid w:val="00EC6FAD"/>
    <w:rPr>
      <w:rFonts w:ascii="Arial" w:hAnsi="Arial"/>
      <w:color w:val="auto"/>
      <w:position w:val="8"/>
      <w:sz w:val="16"/>
    </w:rPr>
  </w:style>
  <w:style w:type="paragraph" w:styleId="FootnoteText">
    <w:name w:val="footnote text"/>
    <w:basedOn w:val="Normal"/>
    <w:link w:val="FootnoteTextChar"/>
    <w:uiPriority w:val="99"/>
    <w:semiHidden/>
    <w:rsid w:val="00EC6FAD"/>
    <w:pPr>
      <w:tabs>
        <w:tab w:val="left" w:pos="425"/>
      </w:tabs>
      <w:spacing w:after="60" w:line="240" w:lineRule="auto"/>
      <w:ind w:left="425" w:hanging="425"/>
    </w:pPr>
    <w:rPr>
      <w:sz w:val="18"/>
    </w:rPr>
  </w:style>
  <w:style w:type="character" w:customStyle="1" w:styleId="FootnoteTextChar">
    <w:name w:val="Footnote Text Char"/>
    <w:link w:val="FootnoteText"/>
    <w:uiPriority w:val="99"/>
    <w:semiHidden/>
    <w:rsid w:val="00EC6FAD"/>
    <w:rPr>
      <w:rFonts w:ascii="Arial" w:eastAsia="Times New Roman" w:hAnsi="Arial" w:cs="Times New Roman"/>
      <w:sz w:val="18"/>
      <w:szCs w:val="20"/>
      <w:lang w:val="en-GB" w:eastAsia="en-GB"/>
    </w:rPr>
  </w:style>
  <w:style w:type="character" w:customStyle="1" w:styleId="Heading2Char">
    <w:name w:val="Heading 2 Char"/>
    <w:link w:val="Heading2"/>
    <w:rsid w:val="006F1EFF"/>
    <w:rPr>
      <w:rFonts w:ascii="Arial" w:eastAsia="Times New Roman" w:hAnsi="Arial"/>
      <w:b/>
      <w:color w:val="0082AB"/>
      <w:spacing w:val="20"/>
      <w:w w:val="90"/>
      <w:sz w:val="28"/>
      <w:szCs w:val="28"/>
      <w:lang w:val="en-GB" w:eastAsia="en-GB"/>
    </w:rPr>
  </w:style>
  <w:style w:type="character" w:customStyle="1" w:styleId="Heading3Char">
    <w:name w:val="Heading 3 Char"/>
    <w:link w:val="Heading3"/>
    <w:rsid w:val="00EC6FAD"/>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EC6FAD"/>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EC6FAD"/>
    <w:rPr>
      <w:rFonts w:ascii="Arial" w:eastAsia="Times New Roman" w:hAnsi="Arial" w:cs="Times New Roman"/>
      <w:color w:val="000000"/>
      <w:lang w:val="en-GB" w:eastAsia="en-GB"/>
    </w:rPr>
  </w:style>
  <w:style w:type="character" w:customStyle="1" w:styleId="Heading6Char">
    <w:name w:val="Heading 6 Char"/>
    <w:link w:val="Heading6"/>
    <w:rsid w:val="00EC6FAD"/>
    <w:rPr>
      <w:rFonts w:ascii="Arial" w:eastAsia="Times New Roman" w:hAnsi="Arial" w:cs="Times New Roman"/>
      <w:i/>
      <w:sz w:val="20"/>
      <w:szCs w:val="20"/>
      <w:lang w:val="en-GB" w:eastAsia="en-GB"/>
    </w:rPr>
  </w:style>
  <w:style w:type="character" w:customStyle="1" w:styleId="Heading7Char">
    <w:name w:val="Heading 7 Char"/>
    <w:link w:val="Heading7"/>
    <w:rsid w:val="00EC6FAD"/>
    <w:rPr>
      <w:rFonts w:ascii="Arial" w:eastAsia="Times New Roman" w:hAnsi="Arial" w:cs="Times New Roman"/>
      <w:sz w:val="20"/>
      <w:szCs w:val="20"/>
      <w:lang w:val="en-GB" w:eastAsia="en-GB"/>
    </w:rPr>
  </w:style>
  <w:style w:type="character" w:customStyle="1" w:styleId="Heading8Char">
    <w:name w:val="Heading 8 Char"/>
    <w:link w:val="Heading8"/>
    <w:rsid w:val="00EC6FAD"/>
    <w:rPr>
      <w:rFonts w:ascii="Arial" w:eastAsia="Times New Roman" w:hAnsi="Arial" w:cs="Times New Roman"/>
      <w:sz w:val="20"/>
      <w:szCs w:val="20"/>
      <w:lang w:val="en-GB" w:eastAsia="en-GB"/>
    </w:rPr>
  </w:style>
  <w:style w:type="character" w:customStyle="1" w:styleId="Heading9Char">
    <w:name w:val="Heading 9 Char"/>
    <w:link w:val="Heading9"/>
    <w:rsid w:val="00EC6FAD"/>
    <w:rPr>
      <w:rFonts w:ascii="Arial" w:eastAsia="Times New Roman" w:hAnsi="Arial" w:cs="Times New Roman"/>
      <w:b/>
      <w:i/>
      <w:sz w:val="20"/>
      <w:szCs w:val="20"/>
      <w:lang w:val="en-AU"/>
    </w:rPr>
  </w:style>
  <w:style w:type="paragraph" w:styleId="List">
    <w:name w:val="List"/>
    <w:basedOn w:val="Normal"/>
    <w:rsid w:val="00EC6FAD"/>
    <w:pPr>
      <w:ind w:left="283" w:hanging="283"/>
    </w:pPr>
  </w:style>
  <w:style w:type="paragraph" w:styleId="Title">
    <w:name w:val="Title"/>
    <w:basedOn w:val="Normal"/>
    <w:link w:val="TitleChar"/>
    <w:rsid w:val="00EC6FAD"/>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EC6FAD"/>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EC6FAD"/>
    <w:pPr>
      <w:spacing w:before="360" w:line="600" w:lineRule="atLeast"/>
    </w:pPr>
    <w:rPr>
      <w:sz w:val="36"/>
      <w:szCs w:val="36"/>
    </w:rPr>
  </w:style>
  <w:style w:type="character" w:customStyle="1" w:styleId="SubtitleChar">
    <w:name w:val="Subtitle Char"/>
    <w:link w:val="Subtitle"/>
    <w:rsid w:val="00EC6FAD"/>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EC6FAD"/>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EC6FAD"/>
    <w:pPr>
      <w:keepNext/>
      <w:spacing w:after="0" w:line="240" w:lineRule="auto"/>
    </w:pPr>
    <w:rPr>
      <w:sz w:val="20"/>
    </w:rPr>
  </w:style>
  <w:style w:type="paragraph" w:styleId="TOC1">
    <w:name w:val="toc 1"/>
    <w:basedOn w:val="Normal"/>
    <w:next w:val="Normal"/>
    <w:uiPriority w:val="39"/>
    <w:rsid w:val="00EC6FA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EC6FAD"/>
    <w:pPr>
      <w:tabs>
        <w:tab w:val="right" w:leader="dot" w:pos="9214"/>
      </w:tabs>
      <w:spacing w:before="100" w:after="100"/>
      <w:ind w:left="709" w:right="284"/>
    </w:pPr>
    <w:rPr>
      <w:noProof/>
      <w:sz w:val="24"/>
    </w:rPr>
  </w:style>
  <w:style w:type="paragraph" w:styleId="TOC3">
    <w:name w:val="toc 3"/>
    <w:basedOn w:val="Normal"/>
    <w:next w:val="Normal"/>
    <w:semiHidden/>
    <w:rsid w:val="00EC6FAD"/>
    <w:pPr>
      <w:tabs>
        <w:tab w:val="left" w:leader="dot" w:pos="8646"/>
        <w:tab w:val="right" w:pos="9072"/>
      </w:tabs>
      <w:ind w:left="1418" w:right="850"/>
    </w:pPr>
  </w:style>
  <w:style w:type="paragraph" w:customStyle="1" w:styleId="TableHeadings">
    <w:name w:val="Table Headings"/>
    <w:basedOn w:val="Normal"/>
    <w:qFormat/>
    <w:rsid w:val="00EC6FAD"/>
    <w:pPr>
      <w:spacing w:before="60" w:after="60"/>
    </w:pPr>
    <w:rPr>
      <w:rFonts w:cs="Arial"/>
      <w:b/>
      <w:color w:val="000000"/>
    </w:rPr>
  </w:style>
  <w:style w:type="paragraph" w:customStyle="1" w:styleId="Bulletlistlevel2">
    <w:name w:val="Bullet list level 2"/>
    <w:basedOn w:val="Normal"/>
    <w:qFormat/>
    <w:rsid w:val="00800DEC"/>
    <w:pPr>
      <w:numPr>
        <w:ilvl w:val="1"/>
        <w:numId w:val="26"/>
      </w:numPr>
      <w:spacing w:after="180" w:line="280" w:lineRule="exact"/>
      <w:ind w:left="568" w:hanging="284"/>
    </w:pPr>
    <w:rPr>
      <w:rFonts w:cs="Arial"/>
      <w:lang w:eastAsia="en-AU"/>
    </w:rPr>
  </w:style>
  <w:style w:type="paragraph" w:customStyle="1" w:styleId="NumberedParagraph">
    <w:name w:val="Numbered Paragraph"/>
    <w:basedOn w:val="Normal"/>
    <w:qFormat/>
    <w:rsid w:val="009276C5"/>
    <w:pPr>
      <w:numPr>
        <w:numId w:val="36"/>
      </w:numPr>
      <w:spacing w:after="200" w:line="240" w:lineRule="auto"/>
      <w:jc w:val="both"/>
    </w:pPr>
    <w:rPr>
      <w:rFonts w:ascii="Verdana" w:eastAsia="Calibri" w:hAnsi="Verdana"/>
      <w:sz w:val="20"/>
      <w:szCs w:val="23"/>
      <w:lang w:val="en-NZ" w:eastAsia="en-NZ"/>
    </w:rPr>
  </w:style>
  <w:style w:type="paragraph" w:customStyle="1" w:styleId="BoxBullet">
    <w:name w:val="Box Bullet"/>
    <w:basedOn w:val="Normal"/>
    <w:qFormat/>
    <w:rsid w:val="009807E7"/>
    <w:pPr>
      <w:numPr>
        <w:numId w:val="39"/>
      </w:numPr>
      <w:pBdr>
        <w:top w:val="single" w:sz="2" w:space="1" w:color="EBF5F8"/>
        <w:left w:val="single" w:sz="2" w:space="4" w:color="EBF5F8"/>
        <w:bottom w:val="single" w:sz="2" w:space="1" w:color="EBF5F8"/>
        <w:right w:val="single" w:sz="2" w:space="4" w:color="EBF5F8"/>
      </w:pBdr>
      <w:shd w:val="clear" w:color="auto" w:fill="EBF5F8"/>
      <w:autoSpaceDE w:val="0"/>
      <w:autoSpaceDN w:val="0"/>
      <w:adjustRightInd w:val="0"/>
      <w:spacing w:before="60" w:after="180"/>
      <w:ind w:left="487" w:hanging="357"/>
    </w:pPr>
    <w:rPr>
      <w:rFonts w:cs="GillSans"/>
      <w:szCs w:val="22"/>
      <w:lang w:eastAsia="en-AU"/>
    </w:rPr>
  </w:style>
  <w:style w:type="paragraph" w:customStyle="1" w:styleId="Table-Text">
    <w:name w:val="Table - Text"/>
    <w:basedOn w:val="Normal"/>
    <w:qFormat/>
    <w:rsid w:val="00DE7A9B"/>
    <w:pPr>
      <w:spacing w:before="60" w:after="60" w:line="276" w:lineRule="auto"/>
    </w:pPr>
    <w:rPr>
      <w:rFonts w:ascii="Verdana" w:eastAsia="Calibri" w:hAnsi="Verdana"/>
      <w:sz w:val="2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93193">
      <w:bodyDiv w:val="1"/>
      <w:marLeft w:val="0"/>
      <w:marRight w:val="0"/>
      <w:marTop w:val="0"/>
      <w:marBottom w:val="0"/>
      <w:divBdr>
        <w:top w:val="none" w:sz="0" w:space="0" w:color="auto"/>
        <w:left w:val="none" w:sz="0" w:space="0" w:color="auto"/>
        <w:bottom w:val="none" w:sz="0" w:space="0" w:color="auto"/>
        <w:right w:val="none" w:sz="0" w:space="0" w:color="auto"/>
      </w:divBdr>
    </w:div>
    <w:div w:id="20423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3797</Words>
  <Characters>21648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Regulatory impact assessment - Student loans: limiting student loan scheme rules relating to the 2013 and prior years (31 January 2019)</vt:lpstr>
    </vt:vector>
  </TitlesOfParts>
  <Company>Inland Revenue</Company>
  <LinksUpToDate>false</LinksUpToDate>
  <CharactersWithSpaces>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 Student loans: limiting student loan scheme rules relating to the 2013 and prior years (31 January 2019)</dc:title>
  <dc:subject/>
  <dc:creator>Policy and Strategy</dc:creator>
  <cp:keywords/>
  <dcterms:created xsi:type="dcterms:W3CDTF">2019-06-23T23:49:00Z</dcterms:created>
  <dcterms:modified xsi:type="dcterms:W3CDTF">2019-06-24T04:25:00Z</dcterms:modified>
</cp:coreProperties>
</file>